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3072" w14:textId="57679122" w:rsidR="008C2371" w:rsidRPr="005F485B" w:rsidRDefault="00AA7F1D">
      <w:pPr>
        <w:spacing w:line="276" w:lineRule="auto"/>
        <w:rPr>
          <w:rFonts w:ascii="Calibri" w:eastAsia="Calibri" w:hAnsi="Calibri" w:cs="Calibri"/>
          <w:color w:val="FF0000"/>
          <w:sz w:val="22"/>
          <w:szCs w:val="22"/>
        </w:rPr>
      </w:pPr>
      <w:r>
        <w:rPr>
          <w:rFonts w:ascii="Calibri" w:eastAsia="Calibri" w:hAnsi="Calibri" w:cs="Calibri"/>
          <w:color w:val="FF0000"/>
          <w:sz w:val="22"/>
          <w:szCs w:val="22"/>
        </w:rPr>
        <w:t>Salutation</w:t>
      </w:r>
    </w:p>
    <w:p w14:paraId="61CF6E89" w14:textId="3D68E170" w:rsidR="008C2371" w:rsidRPr="005F485B" w:rsidRDefault="00AA7F1D">
      <w:pPr>
        <w:spacing w:line="276" w:lineRule="auto"/>
        <w:rPr>
          <w:rFonts w:ascii="Calibri" w:eastAsia="Calibri" w:hAnsi="Calibri" w:cs="Calibri"/>
          <w:color w:val="FF0000"/>
          <w:sz w:val="22"/>
          <w:szCs w:val="22"/>
        </w:rPr>
      </w:pPr>
      <w:r>
        <w:rPr>
          <w:rFonts w:ascii="Calibri" w:eastAsia="Calibri" w:hAnsi="Calibri" w:cs="Calibri"/>
          <w:color w:val="FF0000"/>
          <w:sz w:val="22"/>
          <w:szCs w:val="22"/>
        </w:rPr>
        <w:t>Address 1</w:t>
      </w:r>
    </w:p>
    <w:p w14:paraId="6DD077E6" w14:textId="0B106A38" w:rsidR="008C2371" w:rsidRPr="005F485B" w:rsidRDefault="00AA7F1D">
      <w:pPr>
        <w:spacing w:line="276" w:lineRule="auto"/>
        <w:rPr>
          <w:rFonts w:ascii="Calibri" w:eastAsia="Calibri" w:hAnsi="Calibri" w:cs="Calibri"/>
          <w:color w:val="FF0000"/>
          <w:sz w:val="22"/>
          <w:szCs w:val="22"/>
        </w:rPr>
      </w:pPr>
      <w:r>
        <w:rPr>
          <w:rFonts w:ascii="Calibri" w:eastAsia="Calibri" w:hAnsi="Calibri" w:cs="Calibri"/>
          <w:color w:val="FF0000"/>
          <w:sz w:val="22"/>
          <w:szCs w:val="22"/>
        </w:rPr>
        <w:t>Address 2</w:t>
      </w:r>
    </w:p>
    <w:p w14:paraId="7194B59A" w14:textId="7629683B" w:rsidR="008C2371" w:rsidRPr="005F485B" w:rsidRDefault="00AA7F1D">
      <w:pPr>
        <w:spacing w:line="276" w:lineRule="auto"/>
        <w:rPr>
          <w:rFonts w:ascii="Calibri" w:eastAsia="Calibri" w:hAnsi="Calibri" w:cs="Calibri"/>
          <w:color w:val="FF0000"/>
          <w:sz w:val="22"/>
          <w:szCs w:val="22"/>
        </w:rPr>
      </w:pPr>
      <w:r>
        <w:rPr>
          <w:rFonts w:ascii="Calibri" w:eastAsia="Calibri" w:hAnsi="Calibri" w:cs="Calibri"/>
          <w:color w:val="FF0000"/>
          <w:sz w:val="22"/>
          <w:szCs w:val="22"/>
        </w:rPr>
        <w:t>Address 3</w:t>
      </w:r>
    </w:p>
    <w:p w14:paraId="7107C94E" w14:textId="7058C32A" w:rsidR="008C2371" w:rsidRPr="005F485B" w:rsidRDefault="00AA7F1D">
      <w:pPr>
        <w:spacing w:line="276" w:lineRule="auto"/>
        <w:rPr>
          <w:rFonts w:ascii="Calibri" w:eastAsia="Calibri" w:hAnsi="Calibri" w:cs="Calibri"/>
          <w:color w:val="FF0000"/>
          <w:sz w:val="22"/>
          <w:szCs w:val="22"/>
        </w:rPr>
      </w:pPr>
      <w:r>
        <w:rPr>
          <w:rFonts w:ascii="Calibri" w:eastAsia="Calibri" w:hAnsi="Calibri" w:cs="Calibri"/>
          <w:color w:val="FF0000"/>
          <w:sz w:val="22"/>
          <w:szCs w:val="22"/>
        </w:rPr>
        <w:t>Post Code</w:t>
      </w:r>
    </w:p>
    <w:p w14:paraId="52C2B8FC" w14:textId="77777777" w:rsidR="008C2371" w:rsidRPr="005F485B" w:rsidRDefault="008C2371">
      <w:pPr>
        <w:spacing w:line="276" w:lineRule="auto"/>
        <w:rPr>
          <w:rFonts w:ascii="Calibri" w:eastAsia="Calibri" w:hAnsi="Calibri" w:cs="Calibri"/>
          <w:color w:val="FF0000"/>
          <w:sz w:val="22"/>
          <w:szCs w:val="22"/>
        </w:rPr>
      </w:pPr>
    </w:p>
    <w:p w14:paraId="133F7AEF" w14:textId="77777777" w:rsidR="008C2371" w:rsidRPr="005F485B" w:rsidRDefault="00AF53B1">
      <w:pPr>
        <w:spacing w:line="276" w:lineRule="auto"/>
        <w:rPr>
          <w:rFonts w:ascii="Calibri" w:eastAsia="Calibri" w:hAnsi="Calibri" w:cs="Calibri"/>
          <w:color w:val="FF0000"/>
          <w:sz w:val="22"/>
          <w:szCs w:val="22"/>
        </w:rPr>
      </w:pPr>
      <w:r w:rsidRPr="005F485B">
        <w:rPr>
          <w:rFonts w:ascii="Calibri" w:eastAsia="Calibri" w:hAnsi="Calibri" w:cs="Calibri"/>
          <w:color w:val="FF0000"/>
          <w:sz w:val="22"/>
          <w:szCs w:val="22"/>
        </w:rPr>
        <w:t>Date</w:t>
      </w:r>
    </w:p>
    <w:p w14:paraId="055BDF12" w14:textId="77777777" w:rsidR="008C2371" w:rsidRPr="005F485B" w:rsidRDefault="008C2371">
      <w:pPr>
        <w:spacing w:line="276" w:lineRule="auto"/>
        <w:rPr>
          <w:rFonts w:ascii="Calibri" w:eastAsia="Calibri" w:hAnsi="Calibri" w:cs="Calibri"/>
          <w:color w:val="FF0000"/>
          <w:sz w:val="22"/>
          <w:szCs w:val="22"/>
        </w:rPr>
      </w:pPr>
    </w:p>
    <w:p w14:paraId="30896A84" w14:textId="0ABA03D5" w:rsidR="008C2371" w:rsidRPr="005F485B" w:rsidRDefault="00AF53B1">
      <w:pPr>
        <w:spacing w:line="276" w:lineRule="auto"/>
        <w:rPr>
          <w:rFonts w:ascii="Calibri" w:eastAsia="Calibri" w:hAnsi="Calibri" w:cs="Calibri"/>
          <w:color w:val="FF0000"/>
          <w:sz w:val="22"/>
          <w:szCs w:val="22"/>
        </w:rPr>
      </w:pPr>
      <w:r w:rsidRPr="005F485B">
        <w:rPr>
          <w:rFonts w:ascii="Calibri" w:eastAsia="Calibri" w:hAnsi="Calibri" w:cs="Calibri"/>
          <w:color w:val="FF0000"/>
          <w:sz w:val="22"/>
          <w:szCs w:val="22"/>
        </w:rPr>
        <w:t xml:space="preserve">Dear </w:t>
      </w:r>
      <w:r w:rsidR="00AA7F1D">
        <w:rPr>
          <w:rFonts w:ascii="Calibri" w:eastAsia="Calibri" w:hAnsi="Calibri" w:cs="Calibri"/>
          <w:color w:val="FF0000"/>
          <w:sz w:val="22"/>
          <w:szCs w:val="22"/>
        </w:rPr>
        <w:t>Name</w:t>
      </w:r>
      <w:r w:rsidRPr="005F485B">
        <w:rPr>
          <w:rFonts w:ascii="Calibri" w:eastAsia="Calibri" w:hAnsi="Calibri" w:cs="Calibri"/>
          <w:color w:val="FF0000"/>
          <w:sz w:val="22"/>
          <w:szCs w:val="22"/>
        </w:rPr>
        <w:t>,</w:t>
      </w:r>
    </w:p>
    <w:p w14:paraId="22C80D8A" w14:textId="77777777" w:rsidR="008C2371" w:rsidRDefault="008C2371">
      <w:pPr>
        <w:spacing w:line="276" w:lineRule="auto"/>
        <w:rPr>
          <w:rFonts w:ascii="Calibri" w:eastAsia="Calibri" w:hAnsi="Calibri" w:cs="Calibri"/>
          <w:b/>
          <w:sz w:val="22"/>
          <w:szCs w:val="22"/>
        </w:rPr>
      </w:pPr>
      <w:bookmarkStart w:id="0" w:name="bookmark=id.30j0zll" w:colFirst="0" w:colLast="0"/>
      <w:bookmarkEnd w:id="0"/>
    </w:p>
    <w:p w14:paraId="6FBC3AD3" w14:textId="77777777" w:rsidR="008C2371" w:rsidRDefault="00AF53B1">
      <w:pPr>
        <w:spacing w:line="276" w:lineRule="auto"/>
        <w:rPr>
          <w:rFonts w:ascii="Calibri" w:eastAsia="Calibri" w:hAnsi="Calibri" w:cs="Calibri"/>
          <w:b/>
          <w:sz w:val="22"/>
          <w:szCs w:val="22"/>
        </w:rPr>
      </w:pPr>
      <w:r>
        <w:rPr>
          <w:rFonts w:ascii="Calibri" w:eastAsia="Calibri" w:hAnsi="Calibri" w:cs="Calibri"/>
          <w:b/>
          <w:sz w:val="22"/>
          <w:szCs w:val="22"/>
        </w:rPr>
        <w:t>Investment Top-up Recommendation</w:t>
      </w:r>
      <w:bookmarkStart w:id="1" w:name="bookmark=id.1fob9te" w:colFirst="0" w:colLast="0"/>
      <w:bookmarkEnd w:id="1"/>
      <w:r>
        <w:rPr>
          <w:rFonts w:ascii="Calibri" w:eastAsia="Calibri" w:hAnsi="Calibri" w:cs="Calibri"/>
          <w:b/>
          <w:sz w:val="22"/>
          <w:szCs w:val="22"/>
        </w:rPr>
        <w:t xml:space="preserve"> </w:t>
      </w:r>
    </w:p>
    <w:p w14:paraId="2329ACBC" w14:textId="77777777" w:rsidR="008C2371" w:rsidRDefault="008C2371">
      <w:pPr>
        <w:spacing w:line="276" w:lineRule="auto"/>
        <w:rPr>
          <w:rFonts w:ascii="Calibri" w:eastAsia="Calibri" w:hAnsi="Calibri" w:cs="Calibri"/>
          <w:sz w:val="22"/>
          <w:szCs w:val="22"/>
        </w:rPr>
      </w:pPr>
    </w:p>
    <w:p w14:paraId="763901B3" w14:textId="5556F431" w:rsidR="001F444B" w:rsidRDefault="001F444B">
      <w:pPr>
        <w:spacing w:line="276" w:lineRule="auto"/>
        <w:jc w:val="both"/>
        <w:rPr>
          <w:rFonts w:ascii="Calibri" w:eastAsia="Calibri" w:hAnsi="Calibri" w:cs="Calibri"/>
          <w:sz w:val="22"/>
          <w:szCs w:val="22"/>
        </w:rPr>
      </w:pPr>
      <w:r>
        <w:rPr>
          <w:rFonts w:ascii="Calibri" w:eastAsia="Calibri" w:hAnsi="Calibri" w:cs="Calibri"/>
          <w:sz w:val="22"/>
          <w:szCs w:val="22"/>
        </w:rPr>
        <w:t>Follow</w:t>
      </w:r>
      <w:r w:rsidR="001D4B1E">
        <w:rPr>
          <w:rFonts w:ascii="Calibri" w:eastAsia="Calibri" w:hAnsi="Calibri" w:cs="Calibri"/>
          <w:sz w:val="22"/>
          <w:szCs w:val="22"/>
        </w:rPr>
        <w:t xml:space="preserve">ing our </w:t>
      </w:r>
      <w:r>
        <w:rPr>
          <w:rFonts w:ascii="Calibri" w:eastAsia="Calibri" w:hAnsi="Calibri" w:cs="Calibri"/>
          <w:sz w:val="22"/>
          <w:szCs w:val="22"/>
        </w:rPr>
        <w:t xml:space="preserve">meeting/ conversation on </w:t>
      </w:r>
      <w:r w:rsidRPr="005F485B">
        <w:rPr>
          <w:rFonts w:ascii="Calibri" w:eastAsia="Calibri" w:hAnsi="Calibri" w:cs="Calibri"/>
          <w:color w:val="FF0000"/>
          <w:sz w:val="22"/>
          <w:szCs w:val="22"/>
        </w:rPr>
        <w:t>dd mm</w:t>
      </w:r>
      <w:r>
        <w:rPr>
          <w:rFonts w:ascii="Calibri" w:eastAsia="Calibri" w:hAnsi="Calibri" w:cs="Calibri"/>
          <w:sz w:val="22"/>
          <w:szCs w:val="22"/>
        </w:rPr>
        <w:t>, this letter confirms my recommendation for the following top-up investment:</w:t>
      </w:r>
    </w:p>
    <w:p w14:paraId="64A71698" w14:textId="4DCC657C" w:rsidR="001F444B" w:rsidRDefault="001F444B">
      <w:pPr>
        <w:spacing w:line="276" w:lineRule="auto"/>
        <w:jc w:val="both"/>
        <w:rPr>
          <w:rFonts w:ascii="Calibri" w:eastAsia="Calibri" w:hAnsi="Calibri" w:cs="Calibri"/>
          <w:sz w:val="22"/>
          <w:szCs w:val="22"/>
        </w:rPr>
      </w:pPr>
    </w:p>
    <w:tbl>
      <w:tblPr>
        <w:tblStyle w:val="a"/>
        <w:tblW w:w="8879" w:type="dxa"/>
        <w:jc w:val="center"/>
        <w:tblBorders>
          <w:top w:val="single" w:sz="4" w:space="0" w:color="7EB2E6"/>
          <w:left w:val="single" w:sz="4" w:space="0" w:color="7EB2E6"/>
          <w:bottom w:val="single" w:sz="4" w:space="0" w:color="7EB2E6"/>
          <w:right w:val="single" w:sz="4" w:space="0" w:color="7EB2E6"/>
          <w:insideH w:val="single" w:sz="4" w:space="0" w:color="7EB2E6"/>
          <w:insideV w:val="single" w:sz="4" w:space="0" w:color="7EB2E6"/>
        </w:tblBorders>
        <w:tblLayout w:type="fixed"/>
        <w:tblLook w:val="06A0" w:firstRow="1" w:lastRow="0" w:firstColumn="1" w:lastColumn="0" w:noHBand="1" w:noVBand="1"/>
      </w:tblPr>
      <w:tblGrid>
        <w:gridCol w:w="2263"/>
        <w:gridCol w:w="4395"/>
        <w:gridCol w:w="2221"/>
      </w:tblGrid>
      <w:tr w:rsidR="001F444B" w14:paraId="31D2989A" w14:textId="77777777" w:rsidTr="004C1275">
        <w:trPr>
          <w:cnfStyle w:val="100000000000" w:firstRow="1" w:lastRow="0" w:firstColumn="0" w:lastColumn="0" w:oddVBand="0" w:evenVBand="0" w:oddHBand="0"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2263" w:type="dxa"/>
          </w:tcPr>
          <w:p w14:paraId="78758810" w14:textId="77777777" w:rsidR="001F444B" w:rsidRDefault="001F444B" w:rsidP="009152D9">
            <w:pPr>
              <w:spacing w:line="276" w:lineRule="auto"/>
            </w:pPr>
            <w:r>
              <w:t>Provider</w:t>
            </w:r>
          </w:p>
        </w:tc>
        <w:tc>
          <w:tcPr>
            <w:tcW w:w="4395" w:type="dxa"/>
          </w:tcPr>
          <w:p w14:paraId="4FF1C6AC" w14:textId="77777777" w:rsidR="001F444B" w:rsidRDefault="001F444B" w:rsidP="009152D9">
            <w:pPr>
              <w:spacing w:line="276" w:lineRule="auto"/>
              <w:jc w:val="center"/>
              <w:cnfStyle w:val="100000000000" w:firstRow="1" w:lastRow="0" w:firstColumn="0" w:lastColumn="0" w:oddVBand="0" w:evenVBand="0" w:oddHBand="0" w:evenHBand="0" w:firstRowFirstColumn="0" w:firstRowLastColumn="0" w:lastRowFirstColumn="0" w:lastRowLastColumn="0"/>
            </w:pPr>
            <w:r>
              <w:t>Product Wrapper</w:t>
            </w:r>
          </w:p>
        </w:tc>
        <w:tc>
          <w:tcPr>
            <w:tcW w:w="2221" w:type="dxa"/>
          </w:tcPr>
          <w:p w14:paraId="095F8DE1" w14:textId="77777777" w:rsidR="001F444B" w:rsidRDefault="001F444B" w:rsidP="009152D9">
            <w:pPr>
              <w:spacing w:line="276" w:lineRule="auto"/>
              <w:jc w:val="center"/>
              <w:cnfStyle w:val="100000000000" w:firstRow="1" w:lastRow="0" w:firstColumn="0" w:lastColumn="0" w:oddVBand="0" w:evenVBand="0" w:oddHBand="0" w:evenHBand="0" w:firstRowFirstColumn="0" w:firstRowLastColumn="0" w:lastRowFirstColumn="0" w:lastRowLastColumn="0"/>
            </w:pPr>
            <w:r>
              <w:t>Amount</w:t>
            </w:r>
          </w:p>
        </w:tc>
      </w:tr>
      <w:tr w:rsidR="001F444B" w14:paraId="5461DA25" w14:textId="77777777" w:rsidTr="004C1275">
        <w:trPr>
          <w:trHeight w:val="436"/>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629DD1"/>
            </w:tcBorders>
            <w:shd w:val="clear" w:color="auto" w:fill="auto"/>
          </w:tcPr>
          <w:p w14:paraId="773517B2" w14:textId="77777777" w:rsidR="001F444B" w:rsidRDefault="001F444B" w:rsidP="009152D9">
            <w:pPr>
              <w:spacing w:line="276" w:lineRule="auto"/>
            </w:pPr>
            <w:r>
              <w:rPr>
                <w:b w:val="0"/>
              </w:rPr>
              <w:t>Octopus Investments</w:t>
            </w:r>
          </w:p>
        </w:tc>
        <w:tc>
          <w:tcPr>
            <w:tcW w:w="4395" w:type="dxa"/>
            <w:tcBorders>
              <w:top w:val="single" w:sz="4" w:space="0" w:color="629DD1"/>
            </w:tcBorders>
            <w:shd w:val="clear" w:color="auto" w:fill="auto"/>
          </w:tcPr>
          <w:p w14:paraId="4ADAFA01" w14:textId="77777777" w:rsidR="001F444B" w:rsidRDefault="001F444B" w:rsidP="009152D9">
            <w:pPr>
              <w:spacing w:line="276" w:lineRule="auto"/>
              <w:jc w:val="center"/>
              <w:cnfStyle w:val="000000000000" w:firstRow="0" w:lastRow="0" w:firstColumn="0" w:lastColumn="0" w:oddVBand="0" w:evenVBand="0" w:oddHBand="0" w:evenHBand="0" w:firstRowFirstColumn="0" w:firstRowLastColumn="0" w:lastRowFirstColumn="0" w:lastRowLastColumn="0"/>
            </w:pPr>
            <w:r>
              <w:t>Inheritance Tax Service (ITS)</w:t>
            </w:r>
          </w:p>
        </w:tc>
        <w:tc>
          <w:tcPr>
            <w:tcW w:w="2221" w:type="dxa"/>
            <w:tcBorders>
              <w:top w:val="single" w:sz="4" w:space="0" w:color="629DD1"/>
            </w:tcBorders>
            <w:shd w:val="clear" w:color="auto" w:fill="auto"/>
          </w:tcPr>
          <w:p w14:paraId="4DB5D965" w14:textId="77777777" w:rsidR="001F444B" w:rsidRDefault="001F444B" w:rsidP="009152D9">
            <w:pPr>
              <w:spacing w:line="276" w:lineRule="auto"/>
              <w:jc w:val="center"/>
              <w:cnfStyle w:val="000000000000" w:firstRow="0" w:lastRow="0" w:firstColumn="0" w:lastColumn="0" w:oddVBand="0" w:evenVBand="0" w:oddHBand="0" w:evenHBand="0" w:firstRowFirstColumn="0" w:firstRowLastColumn="0" w:lastRowFirstColumn="0" w:lastRowLastColumn="0"/>
            </w:pPr>
            <w:r w:rsidRPr="005F485B">
              <w:rPr>
                <w:color w:val="FF0000"/>
              </w:rPr>
              <w:t>£50,000</w:t>
            </w:r>
          </w:p>
        </w:tc>
      </w:tr>
    </w:tbl>
    <w:p w14:paraId="355E29C7" w14:textId="77777777" w:rsidR="001F444B" w:rsidRDefault="001F444B">
      <w:pPr>
        <w:spacing w:line="276" w:lineRule="auto"/>
        <w:jc w:val="both"/>
        <w:rPr>
          <w:rFonts w:ascii="Calibri" w:eastAsia="Calibri" w:hAnsi="Calibri" w:cs="Calibri"/>
          <w:sz w:val="22"/>
          <w:szCs w:val="22"/>
        </w:rPr>
      </w:pPr>
    </w:p>
    <w:p w14:paraId="6B448CB9" w14:textId="79858C9E" w:rsidR="008C2371" w:rsidRDefault="00D44342" w:rsidP="008B2D6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This letter should be read in conjunction with my original recommendation letter of </w:t>
      </w:r>
      <w:r w:rsidRPr="005C2D53">
        <w:rPr>
          <w:rFonts w:ascii="Calibri" w:eastAsia="Calibri" w:hAnsi="Calibri" w:cs="Calibri"/>
          <w:color w:val="FF0000"/>
          <w:sz w:val="22"/>
          <w:szCs w:val="22"/>
        </w:rPr>
        <w:t xml:space="preserve">dd mm </w:t>
      </w:r>
      <w:proofErr w:type="spellStart"/>
      <w:r w:rsidRPr="005C2D53">
        <w:rPr>
          <w:rFonts w:ascii="Calibri" w:eastAsia="Calibri" w:hAnsi="Calibri" w:cs="Calibri"/>
          <w:color w:val="FF0000"/>
          <w:sz w:val="22"/>
          <w:szCs w:val="22"/>
        </w:rPr>
        <w:t>yyyy</w:t>
      </w:r>
      <w:proofErr w:type="spellEnd"/>
      <w:r w:rsidR="00DB5B6E">
        <w:rPr>
          <w:rFonts w:ascii="Calibri" w:eastAsia="Calibri" w:hAnsi="Calibri" w:cs="Calibri"/>
          <w:color w:val="000000"/>
          <w:sz w:val="22"/>
          <w:szCs w:val="22"/>
        </w:rPr>
        <w:t xml:space="preserve">, which </w:t>
      </w:r>
      <w:r w:rsidR="00AF53B1">
        <w:rPr>
          <w:rFonts w:ascii="Calibri" w:eastAsia="Calibri" w:hAnsi="Calibri" w:cs="Calibri"/>
          <w:color w:val="000000"/>
          <w:sz w:val="22"/>
          <w:szCs w:val="22"/>
        </w:rPr>
        <w:t xml:space="preserve">details </w:t>
      </w:r>
      <w:r w:rsidR="00DB5B6E">
        <w:rPr>
          <w:rFonts w:ascii="Calibri" w:eastAsia="Calibri" w:hAnsi="Calibri" w:cs="Calibri"/>
          <w:color w:val="000000"/>
          <w:sz w:val="22"/>
          <w:szCs w:val="22"/>
        </w:rPr>
        <w:t xml:space="preserve">the full reasons why this product is suitable and the associated risks which continue to apply.  </w:t>
      </w:r>
    </w:p>
    <w:p w14:paraId="13709358" w14:textId="60D159E1" w:rsidR="008B2D61" w:rsidRDefault="008B2D61" w:rsidP="008B2D61">
      <w:pPr>
        <w:pBdr>
          <w:top w:val="nil"/>
          <w:left w:val="nil"/>
          <w:bottom w:val="nil"/>
          <w:right w:val="nil"/>
          <w:between w:val="nil"/>
        </w:pBdr>
        <w:jc w:val="both"/>
        <w:rPr>
          <w:rFonts w:ascii="Calibri" w:eastAsia="Calibri" w:hAnsi="Calibri" w:cs="Calibri"/>
          <w:color w:val="000000"/>
          <w:sz w:val="22"/>
          <w:szCs w:val="22"/>
        </w:rPr>
      </w:pPr>
    </w:p>
    <w:p w14:paraId="5FD55FDB" w14:textId="77777777" w:rsidR="008B2D61" w:rsidRDefault="008B2D61" w:rsidP="008B2D61">
      <w:pPr>
        <w:jc w:val="both"/>
        <w:rPr>
          <w:rFonts w:ascii="Calibri" w:eastAsia="Calibri" w:hAnsi="Calibri" w:cs="Calibri"/>
          <w:color w:val="FF0000"/>
        </w:rPr>
      </w:pPr>
      <w:r>
        <w:rPr>
          <w:rFonts w:ascii="Calibri" w:eastAsia="Calibri" w:hAnsi="Calibri" w:cs="Calibri"/>
          <w:color w:val="FF0000"/>
        </w:rPr>
        <w:t>There have been no material changes in your personal and financial circumstances and capacity for risk from the original suitability report</w:t>
      </w:r>
    </w:p>
    <w:p w14:paraId="17CB4999" w14:textId="77777777" w:rsidR="008B2D61" w:rsidRDefault="008B2D61" w:rsidP="008B2D61">
      <w:pPr>
        <w:jc w:val="both"/>
        <w:rPr>
          <w:rFonts w:ascii="Calibri" w:eastAsia="Calibri" w:hAnsi="Calibri" w:cs="Calibri"/>
          <w:color w:val="FF0000"/>
        </w:rPr>
      </w:pPr>
    </w:p>
    <w:p w14:paraId="6CD341C7" w14:textId="77777777" w:rsidR="008B2D61" w:rsidRDefault="008B2D61" w:rsidP="008B2D61">
      <w:pPr>
        <w:jc w:val="both"/>
        <w:rPr>
          <w:rFonts w:ascii="Calibri" w:eastAsia="Calibri" w:hAnsi="Calibri" w:cs="Calibri"/>
          <w:color w:val="FF0000"/>
        </w:rPr>
      </w:pPr>
      <w:r>
        <w:rPr>
          <w:rFonts w:ascii="Calibri" w:eastAsia="Calibri" w:hAnsi="Calibri" w:cs="Calibri"/>
          <w:color w:val="FF0000"/>
        </w:rPr>
        <w:t>Or</w:t>
      </w:r>
    </w:p>
    <w:p w14:paraId="7F8F6F44" w14:textId="77777777" w:rsidR="008B2D61" w:rsidRDefault="008B2D61" w:rsidP="008B2D61">
      <w:pPr>
        <w:jc w:val="both"/>
        <w:rPr>
          <w:rFonts w:ascii="Calibri" w:eastAsia="Calibri" w:hAnsi="Calibri" w:cs="Calibri"/>
          <w:color w:val="FF0000"/>
        </w:rPr>
      </w:pPr>
    </w:p>
    <w:p w14:paraId="3CAC8D32" w14:textId="77777777" w:rsidR="008B2D61" w:rsidRDefault="008B2D61" w:rsidP="008B2D61">
      <w:pPr>
        <w:jc w:val="both"/>
        <w:rPr>
          <w:rFonts w:ascii="Calibri" w:eastAsia="Calibri" w:hAnsi="Calibri" w:cs="Calibri"/>
          <w:color w:val="FF0000"/>
        </w:rPr>
      </w:pPr>
      <w:r>
        <w:rPr>
          <w:rFonts w:ascii="Calibri" w:eastAsia="Calibri" w:hAnsi="Calibri" w:cs="Calibri"/>
          <w:color w:val="FF0000"/>
        </w:rPr>
        <w:t>You have confirmed the following changes to your personal and financial circumstances since the original suitability report:</w:t>
      </w:r>
    </w:p>
    <w:p w14:paraId="42B19CFE" w14:textId="77777777" w:rsidR="008B2D61" w:rsidRDefault="008B2D61" w:rsidP="008B2D61">
      <w:pPr>
        <w:jc w:val="both"/>
        <w:rPr>
          <w:rFonts w:ascii="Calibri" w:eastAsia="Calibri" w:hAnsi="Calibri" w:cs="Calibri"/>
          <w:color w:val="FF0000"/>
        </w:rPr>
      </w:pPr>
    </w:p>
    <w:p w14:paraId="32E09058" w14:textId="77777777" w:rsidR="008B2D61" w:rsidRPr="005C2D53" w:rsidRDefault="008B2D61" w:rsidP="008B2D61">
      <w:pPr>
        <w:pStyle w:val="ListParagraph"/>
        <w:numPr>
          <w:ilvl w:val="0"/>
          <w:numId w:val="5"/>
        </w:numPr>
        <w:jc w:val="both"/>
        <w:rPr>
          <w:rFonts w:ascii="Calibri" w:eastAsia="Calibri" w:hAnsi="Calibri" w:cs="Calibri"/>
          <w:color w:val="FF0000"/>
        </w:rPr>
      </w:pPr>
      <w:r w:rsidRPr="005C2D53">
        <w:rPr>
          <w:rFonts w:ascii="Calibri" w:eastAsia="Calibri" w:hAnsi="Calibri" w:cs="Calibri"/>
          <w:color w:val="FF0000"/>
        </w:rPr>
        <w:t>Adviser to list e.g. your health has deteriorated, surplus cash etc…</w:t>
      </w:r>
    </w:p>
    <w:p w14:paraId="6C0E522A" w14:textId="77777777" w:rsidR="008B2D61" w:rsidRPr="005C2D53" w:rsidRDefault="008B2D61" w:rsidP="008B2D61">
      <w:pPr>
        <w:jc w:val="both"/>
        <w:rPr>
          <w:rFonts w:ascii="Calibri" w:eastAsia="Calibri" w:hAnsi="Calibri" w:cs="Calibri"/>
          <w:color w:val="FF0000"/>
        </w:rPr>
      </w:pPr>
    </w:p>
    <w:p w14:paraId="7C72F90F" w14:textId="77777777" w:rsidR="008B2D61" w:rsidRDefault="008B2D61" w:rsidP="008B2D61">
      <w:pPr>
        <w:jc w:val="both"/>
        <w:rPr>
          <w:rFonts w:ascii="Calibri" w:eastAsia="Calibri" w:hAnsi="Calibri" w:cs="Calibri"/>
          <w:color w:val="FF0000"/>
        </w:rPr>
      </w:pPr>
      <w:r w:rsidRPr="005C2D53">
        <w:rPr>
          <w:rFonts w:ascii="Calibri" w:eastAsia="Calibri" w:hAnsi="Calibri" w:cs="Calibri"/>
          <w:color w:val="FF0000"/>
        </w:rPr>
        <w:t>There are no changes to your capacity to risk</w:t>
      </w:r>
      <w:r>
        <w:rPr>
          <w:rFonts w:ascii="Calibri" w:eastAsia="Calibri" w:hAnsi="Calibri" w:cs="Calibri"/>
          <w:color w:val="FF0000"/>
        </w:rPr>
        <w:t xml:space="preserve"> from the original recommendation.</w:t>
      </w:r>
    </w:p>
    <w:p w14:paraId="3FD78932" w14:textId="77777777" w:rsidR="008C2371" w:rsidRDefault="008C2371">
      <w:pPr>
        <w:rPr>
          <w:rFonts w:ascii="Calibri" w:eastAsia="Calibri" w:hAnsi="Calibri" w:cs="Calibri"/>
        </w:rPr>
      </w:pPr>
      <w:bookmarkStart w:id="2" w:name="_heading=h.2et92p0" w:colFirst="0" w:colLast="0"/>
      <w:bookmarkEnd w:id="2"/>
    </w:p>
    <w:p w14:paraId="4AB723E5" w14:textId="296A46D5" w:rsidR="008C2371" w:rsidRDefault="00DB5B6E">
      <w:pPr>
        <w:pStyle w:val="Heading1"/>
        <w:numPr>
          <w:ilvl w:val="0"/>
          <w:numId w:val="3"/>
        </w:numPr>
        <w:pBdr>
          <w:bottom w:val="single" w:sz="12" w:space="1" w:color="629DD1"/>
        </w:pBdr>
        <w:spacing w:line="276" w:lineRule="auto"/>
        <w:rPr>
          <w:rFonts w:ascii="Calibri" w:eastAsia="Calibri" w:hAnsi="Calibri" w:cs="Calibri"/>
          <w:sz w:val="20"/>
          <w:szCs w:val="20"/>
        </w:rPr>
      </w:pPr>
      <w:bookmarkStart w:id="3" w:name="_heading=h.tyjcwt" w:colFirst="0" w:colLast="0"/>
      <w:bookmarkEnd w:id="3"/>
      <w:r>
        <w:rPr>
          <w:rFonts w:ascii="Calibri" w:eastAsia="Calibri" w:hAnsi="Calibri" w:cs="Calibri"/>
          <w:sz w:val="20"/>
          <w:szCs w:val="20"/>
        </w:rPr>
        <w:t xml:space="preserve">Your </w:t>
      </w:r>
      <w:r w:rsidR="005F485B">
        <w:rPr>
          <w:rFonts w:ascii="Calibri" w:eastAsia="Calibri" w:hAnsi="Calibri" w:cs="Calibri"/>
          <w:sz w:val="20"/>
          <w:szCs w:val="20"/>
        </w:rPr>
        <w:t>Objectives</w:t>
      </w:r>
      <w:r>
        <w:rPr>
          <w:rFonts w:ascii="Calibri" w:eastAsia="Calibri" w:hAnsi="Calibri" w:cs="Calibri"/>
          <w:sz w:val="20"/>
          <w:szCs w:val="20"/>
        </w:rPr>
        <w:t xml:space="preserve"> </w:t>
      </w:r>
      <w:r w:rsidR="005C2D53">
        <w:rPr>
          <w:rFonts w:ascii="Calibri" w:eastAsia="Calibri" w:hAnsi="Calibri" w:cs="Calibri"/>
          <w:sz w:val="20"/>
          <w:szCs w:val="20"/>
        </w:rPr>
        <w:t>&amp; Reasons for this Recommendation</w:t>
      </w:r>
    </w:p>
    <w:p w14:paraId="6EE8F522" w14:textId="7F68A605" w:rsidR="008C2371" w:rsidRDefault="008C2371">
      <w:pPr>
        <w:spacing w:line="276" w:lineRule="auto"/>
        <w:jc w:val="both"/>
        <w:rPr>
          <w:rFonts w:ascii="Calibri" w:eastAsia="Calibri" w:hAnsi="Calibri" w:cs="Calibri"/>
          <w:color w:val="FF0000"/>
        </w:rPr>
      </w:pPr>
    </w:p>
    <w:p w14:paraId="6CB60001" w14:textId="1E70AB8A" w:rsidR="00637D01" w:rsidRPr="00637D01" w:rsidRDefault="00637D01">
      <w:pPr>
        <w:spacing w:line="276" w:lineRule="auto"/>
        <w:jc w:val="both"/>
        <w:rPr>
          <w:rFonts w:ascii="Calibri" w:eastAsia="Calibri" w:hAnsi="Calibri" w:cs="Calibri"/>
          <w:b/>
          <w:bCs/>
        </w:rPr>
      </w:pPr>
      <w:r w:rsidRPr="00637D01">
        <w:rPr>
          <w:rFonts w:ascii="Calibri" w:eastAsia="Calibri" w:hAnsi="Calibri" w:cs="Calibri"/>
          <w:b/>
          <w:bCs/>
        </w:rPr>
        <w:t>Objectives</w:t>
      </w:r>
    </w:p>
    <w:p w14:paraId="21353BD1" w14:textId="41A8853F" w:rsidR="00637D01" w:rsidRDefault="00AA7F1D" w:rsidP="00637D01">
      <w:pPr>
        <w:spacing w:line="276" w:lineRule="auto"/>
        <w:jc w:val="both"/>
        <w:rPr>
          <w:rFonts w:ascii="Calibri" w:eastAsia="Calibri" w:hAnsi="Calibri" w:cs="Calibri"/>
        </w:rPr>
      </w:pPr>
      <w:r w:rsidRPr="00637D01">
        <w:rPr>
          <w:rFonts w:ascii="Calibri" w:eastAsia="Calibri" w:hAnsi="Calibri" w:cs="Calibri"/>
          <w:color w:val="FF0000"/>
        </w:rPr>
        <w:t>You w</w:t>
      </w:r>
      <w:r w:rsidR="00637D01" w:rsidRPr="00637D01">
        <w:rPr>
          <w:rFonts w:ascii="Calibri" w:eastAsia="Calibri" w:hAnsi="Calibri" w:cs="Calibri"/>
          <w:color w:val="FF0000"/>
        </w:rPr>
        <w:t>ant</w:t>
      </w:r>
      <w:r w:rsidRPr="00637D01">
        <w:rPr>
          <w:rFonts w:ascii="Calibri" w:eastAsia="Calibri" w:hAnsi="Calibri" w:cs="Calibri"/>
          <w:color w:val="FF0000"/>
        </w:rPr>
        <w:t xml:space="preserve"> to invest surplus funds which are currently sitting in cash savings and y</w:t>
      </w:r>
      <w:r w:rsidR="005F485B" w:rsidRPr="00637D01">
        <w:rPr>
          <w:rFonts w:ascii="Calibri" w:eastAsia="Calibri" w:hAnsi="Calibri" w:cs="Calibri"/>
        </w:rPr>
        <w:t>our main objective</w:t>
      </w:r>
      <w:r w:rsidR="00637D01" w:rsidRPr="00637D01">
        <w:rPr>
          <w:rFonts w:ascii="Calibri" w:eastAsia="Calibri" w:hAnsi="Calibri" w:cs="Calibri"/>
        </w:rPr>
        <w:t>s are:</w:t>
      </w:r>
    </w:p>
    <w:p w14:paraId="790CA2C4" w14:textId="77777777" w:rsidR="00637D01" w:rsidRPr="00637D01" w:rsidRDefault="00637D01" w:rsidP="00637D01">
      <w:pPr>
        <w:spacing w:line="276" w:lineRule="auto"/>
        <w:jc w:val="both"/>
        <w:rPr>
          <w:rFonts w:ascii="Calibri" w:eastAsia="Calibri" w:hAnsi="Calibri" w:cs="Calibri"/>
        </w:rPr>
      </w:pPr>
    </w:p>
    <w:p w14:paraId="2DD4D495" w14:textId="4249F477" w:rsidR="00AA7F1D" w:rsidRDefault="00637D01" w:rsidP="008B2D61">
      <w:pPr>
        <w:pStyle w:val="ListParagraph"/>
        <w:numPr>
          <w:ilvl w:val="0"/>
          <w:numId w:val="7"/>
        </w:numPr>
        <w:spacing w:line="276" w:lineRule="auto"/>
        <w:jc w:val="both"/>
        <w:rPr>
          <w:rFonts w:ascii="Calibri" w:eastAsia="Calibri" w:hAnsi="Calibri" w:cs="Calibri"/>
        </w:rPr>
      </w:pPr>
      <w:r>
        <w:rPr>
          <w:rFonts w:ascii="Calibri" w:eastAsia="Calibri" w:hAnsi="Calibri" w:cs="Calibri"/>
        </w:rPr>
        <w:t>T</w:t>
      </w:r>
      <w:r w:rsidR="005F485B" w:rsidRPr="00AA7F1D">
        <w:rPr>
          <w:rFonts w:ascii="Calibri" w:eastAsia="Calibri" w:hAnsi="Calibri" w:cs="Calibri"/>
        </w:rPr>
        <w:t>o continue reduc</w:t>
      </w:r>
      <w:r w:rsidR="00090EE4">
        <w:rPr>
          <w:rFonts w:ascii="Calibri" w:eastAsia="Calibri" w:hAnsi="Calibri" w:cs="Calibri"/>
        </w:rPr>
        <w:t>ing</w:t>
      </w:r>
      <w:r w:rsidR="005F485B" w:rsidRPr="00AA7F1D">
        <w:rPr>
          <w:rFonts w:ascii="Calibri" w:eastAsia="Calibri" w:hAnsi="Calibri" w:cs="Calibri"/>
        </w:rPr>
        <w:t xml:space="preserve"> the value of your estate for IHT (Inheritance Tax) purposes</w:t>
      </w:r>
      <w:r w:rsidR="005C2D53" w:rsidRPr="00AA7F1D">
        <w:rPr>
          <w:rFonts w:ascii="Calibri" w:eastAsia="Calibri" w:hAnsi="Calibri" w:cs="Calibri"/>
        </w:rPr>
        <w:t>, as quickly as possible.</w:t>
      </w:r>
      <w:r w:rsidR="00AA7F1D">
        <w:rPr>
          <w:rFonts w:ascii="Calibri" w:eastAsia="Calibri" w:hAnsi="Calibri" w:cs="Calibri"/>
        </w:rPr>
        <w:t xml:space="preserve">  </w:t>
      </w:r>
    </w:p>
    <w:p w14:paraId="033C3B19" w14:textId="77777777" w:rsidR="00F657E2" w:rsidRDefault="00637D01" w:rsidP="00637D01">
      <w:pPr>
        <w:pStyle w:val="ListParagraph"/>
        <w:numPr>
          <w:ilvl w:val="0"/>
          <w:numId w:val="7"/>
        </w:numPr>
        <w:jc w:val="both"/>
        <w:rPr>
          <w:rFonts w:ascii="Calibri" w:eastAsia="Calibri" w:hAnsi="Calibri" w:cs="Calibri"/>
        </w:rPr>
      </w:pPr>
      <w:r w:rsidRPr="008B2D61">
        <w:rPr>
          <w:rFonts w:ascii="Calibri" w:eastAsia="Calibri" w:hAnsi="Calibri" w:cs="Calibri"/>
        </w:rPr>
        <w:t>Whilst you are happy to invest these funds indefinitely, you would like to retain access should you need to draw on the funds.  Achieving a modest and predic</w:t>
      </w:r>
      <w:r w:rsidR="00897FCA">
        <w:rPr>
          <w:rFonts w:ascii="Calibri" w:eastAsia="Calibri" w:hAnsi="Calibri" w:cs="Calibri"/>
        </w:rPr>
        <w:t>t</w:t>
      </w:r>
      <w:r w:rsidRPr="008B2D61">
        <w:rPr>
          <w:rFonts w:ascii="Calibri" w:eastAsia="Calibri" w:hAnsi="Calibri" w:cs="Calibri"/>
        </w:rPr>
        <w:t>able level of growth is, therefore, also important.</w:t>
      </w:r>
    </w:p>
    <w:p w14:paraId="46A6932B" w14:textId="3231C896" w:rsidR="00637D01" w:rsidRDefault="00F657E2" w:rsidP="00637D01">
      <w:pPr>
        <w:pStyle w:val="ListParagraph"/>
        <w:numPr>
          <w:ilvl w:val="0"/>
          <w:numId w:val="7"/>
        </w:numPr>
        <w:jc w:val="both"/>
        <w:rPr>
          <w:rFonts w:ascii="Calibri" w:eastAsia="Calibri" w:hAnsi="Calibri" w:cs="Calibri"/>
        </w:rPr>
      </w:pPr>
      <w:r>
        <w:rPr>
          <w:rFonts w:ascii="Calibri" w:eastAsia="Calibri" w:hAnsi="Calibri" w:cs="Calibri"/>
        </w:rPr>
        <w:t xml:space="preserve">You want to keep </w:t>
      </w:r>
      <w:r w:rsidR="00445A5E">
        <w:rPr>
          <w:rFonts w:ascii="Calibri" w:eastAsia="Calibri" w:hAnsi="Calibri" w:cs="Calibri"/>
        </w:rPr>
        <w:t>your</w:t>
      </w:r>
      <w:r>
        <w:rPr>
          <w:rFonts w:ascii="Calibri" w:eastAsia="Calibri" w:hAnsi="Calibri" w:cs="Calibri"/>
        </w:rPr>
        <w:t xml:space="preserve"> investments as simple as possible</w:t>
      </w:r>
      <w:r w:rsidR="00445A5E">
        <w:rPr>
          <w:rFonts w:ascii="Calibri" w:eastAsia="Calibri" w:hAnsi="Calibri" w:cs="Calibri"/>
        </w:rPr>
        <w:t>.</w:t>
      </w:r>
      <w:r w:rsidR="00637D01" w:rsidRPr="008B2D61">
        <w:rPr>
          <w:rFonts w:ascii="Calibri" w:eastAsia="Calibri" w:hAnsi="Calibri" w:cs="Calibri"/>
        </w:rPr>
        <w:t xml:space="preserve"> </w:t>
      </w:r>
    </w:p>
    <w:p w14:paraId="16903921" w14:textId="7FE09634" w:rsidR="00637D01" w:rsidRDefault="00637D01" w:rsidP="00637D01">
      <w:pPr>
        <w:spacing w:line="276" w:lineRule="auto"/>
        <w:jc w:val="both"/>
        <w:rPr>
          <w:rFonts w:ascii="Calibri" w:eastAsia="Calibri" w:hAnsi="Calibri" w:cs="Calibri"/>
        </w:rPr>
      </w:pPr>
    </w:p>
    <w:p w14:paraId="65EF512F" w14:textId="22B6FCAD" w:rsidR="00637D01" w:rsidRPr="00637D01" w:rsidRDefault="00637D01" w:rsidP="00637D01">
      <w:pPr>
        <w:spacing w:line="276" w:lineRule="auto"/>
        <w:jc w:val="both"/>
        <w:rPr>
          <w:rFonts w:ascii="Calibri" w:eastAsia="Calibri" w:hAnsi="Calibri" w:cs="Calibri"/>
          <w:b/>
          <w:bCs/>
        </w:rPr>
      </w:pPr>
      <w:r w:rsidRPr="00637D01">
        <w:rPr>
          <w:rFonts w:ascii="Calibri" w:eastAsia="Calibri" w:hAnsi="Calibri" w:cs="Calibri"/>
          <w:b/>
          <w:bCs/>
        </w:rPr>
        <w:t>Reasons for the Top-up</w:t>
      </w:r>
    </w:p>
    <w:p w14:paraId="5426AECE" w14:textId="17B486FC" w:rsidR="00CA4332" w:rsidRPr="00FC49FC" w:rsidRDefault="00A73C6F" w:rsidP="00CA4332">
      <w:pPr>
        <w:pStyle w:val="ListParagraph"/>
        <w:numPr>
          <w:ilvl w:val="0"/>
          <w:numId w:val="9"/>
        </w:numPr>
        <w:spacing w:line="276" w:lineRule="auto"/>
        <w:ind w:right="3"/>
        <w:jc w:val="both"/>
        <w:rPr>
          <w:rFonts w:ascii="Calibri" w:eastAsia="Calibri" w:hAnsi="Calibri" w:cs="Calibri"/>
          <w:color w:val="FF0000"/>
        </w:rPr>
      </w:pPr>
      <w:r w:rsidRPr="00E84938">
        <w:rPr>
          <w:rFonts w:ascii="Calibri" w:eastAsia="Calibri" w:hAnsi="Calibri" w:cs="Calibri"/>
        </w:rPr>
        <w:t>A</w:t>
      </w:r>
      <w:r>
        <w:rPr>
          <w:rFonts w:ascii="Calibri" w:eastAsia="Calibri" w:hAnsi="Calibri" w:cs="Calibri"/>
        </w:rPr>
        <w:t xml:space="preserve">s we have discussed, </w:t>
      </w:r>
      <w:r w:rsidR="00CA4332" w:rsidRPr="00637D01">
        <w:rPr>
          <w:rFonts w:ascii="Calibri" w:eastAsia="Calibri" w:hAnsi="Calibri" w:cs="Calibri"/>
        </w:rPr>
        <w:t>BR investments do not have to be a one-off investment and I explained how it can be part of your ongoing</w:t>
      </w:r>
      <w:r w:rsidR="00AA000D">
        <w:rPr>
          <w:rFonts w:ascii="Calibri" w:eastAsia="Calibri" w:hAnsi="Calibri" w:cs="Calibri"/>
        </w:rPr>
        <w:t xml:space="preserve"> intergenerational </w:t>
      </w:r>
      <w:r w:rsidR="00CA4332" w:rsidRPr="00637D01">
        <w:rPr>
          <w:rFonts w:ascii="Calibri" w:eastAsia="Calibri" w:hAnsi="Calibri" w:cs="Calibri"/>
        </w:rPr>
        <w:t xml:space="preserve">planning and that top-ups can be made at different times.  </w:t>
      </w:r>
    </w:p>
    <w:p w14:paraId="15F398A7" w14:textId="462A07A9" w:rsidR="00AA7F1D" w:rsidRPr="00637D01" w:rsidRDefault="00AA7F1D" w:rsidP="00637D01">
      <w:pPr>
        <w:pStyle w:val="ListParagraph"/>
        <w:numPr>
          <w:ilvl w:val="0"/>
          <w:numId w:val="9"/>
        </w:numPr>
        <w:jc w:val="both"/>
        <w:rPr>
          <w:rFonts w:ascii="Calibri" w:eastAsia="Calibri" w:hAnsi="Calibri" w:cs="Calibri"/>
        </w:rPr>
      </w:pPr>
      <w:r w:rsidRPr="00637D01">
        <w:rPr>
          <w:rFonts w:ascii="Calibri" w:eastAsia="Calibri" w:hAnsi="Calibri" w:cs="Calibri"/>
        </w:rPr>
        <w:lastRenderedPageBreak/>
        <w:t>Octopus ITS is a discretionary managed service that invests into one or more unlisted trading companies that Octopus believes will qualify for BR (Business</w:t>
      </w:r>
      <w:r w:rsidR="0071350E">
        <w:rPr>
          <w:rFonts w:ascii="Calibri" w:eastAsia="Calibri" w:hAnsi="Calibri" w:cs="Calibri"/>
        </w:rPr>
        <w:t xml:space="preserve"> </w:t>
      </w:r>
      <w:r w:rsidRPr="00637D01">
        <w:rPr>
          <w:rFonts w:ascii="Calibri" w:eastAsia="Calibri" w:hAnsi="Calibri" w:cs="Calibri"/>
        </w:rPr>
        <w:t xml:space="preserve">Relief). Therefore, </w:t>
      </w:r>
      <w:r w:rsidR="004F7827">
        <w:rPr>
          <w:rFonts w:ascii="Calibri" w:eastAsia="Calibri" w:hAnsi="Calibri" w:cs="Calibri"/>
        </w:rPr>
        <w:t xml:space="preserve">once you have </w:t>
      </w:r>
      <w:r w:rsidRPr="00637D01">
        <w:rPr>
          <w:rFonts w:ascii="Calibri" w:eastAsia="Calibri" w:hAnsi="Calibri" w:cs="Calibri"/>
        </w:rPr>
        <w:t xml:space="preserve">held </w:t>
      </w:r>
      <w:r w:rsidR="004F7827">
        <w:rPr>
          <w:rFonts w:ascii="Calibri" w:eastAsia="Calibri" w:hAnsi="Calibri" w:cs="Calibri"/>
        </w:rPr>
        <w:t xml:space="preserve">your portfolio </w:t>
      </w:r>
      <w:r w:rsidRPr="00637D01">
        <w:rPr>
          <w:rFonts w:ascii="Calibri" w:eastAsia="Calibri" w:hAnsi="Calibri" w:cs="Calibri"/>
        </w:rPr>
        <w:t>for at least two years, your investment is expected to be exempt from IHT.</w:t>
      </w:r>
      <w:bookmarkStart w:id="4" w:name="bookmark=id.4d34og8" w:colFirst="0" w:colLast="0"/>
      <w:bookmarkEnd w:id="4"/>
      <w:r w:rsidR="00637D01" w:rsidRPr="00637D01">
        <w:rPr>
          <w:rFonts w:ascii="Calibri" w:eastAsia="Calibri" w:hAnsi="Calibri" w:cs="Calibri"/>
        </w:rPr>
        <w:t xml:space="preserve"> This is much quicker than other IHT planning methods, such as gifting, where it would take 7 years for the money to completely fall outside of your estate.</w:t>
      </w:r>
    </w:p>
    <w:p w14:paraId="5CCC488E" w14:textId="1129FD77" w:rsidR="00013B95" w:rsidRDefault="00013B95" w:rsidP="00D968FE">
      <w:pPr>
        <w:pStyle w:val="ListParagraph"/>
        <w:rPr>
          <w:rFonts w:ascii="Calibri" w:eastAsia="Calibri" w:hAnsi="Calibri" w:cs="Calibri"/>
          <w:color w:val="FF0000"/>
        </w:rPr>
      </w:pPr>
    </w:p>
    <w:p w14:paraId="7A82FA5E" w14:textId="6E70FEE1" w:rsidR="00013B95" w:rsidRPr="00B53555" w:rsidRDefault="00B53555" w:rsidP="00B53555">
      <w:pPr>
        <w:pStyle w:val="ListParagraph"/>
        <w:numPr>
          <w:ilvl w:val="0"/>
          <w:numId w:val="9"/>
        </w:numPr>
        <w:rPr>
          <w:rFonts w:ascii="Calibri" w:eastAsia="Calibri" w:hAnsi="Calibri" w:cs="Calibri"/>
          <w:color w:val="FF0000"/>
        </w:rPr>
      </w:pPr>
      <w:r>
        <w:rPr>
          <w:rFonts w:ascii="Calibri" w:eastAsia="Calibri" w:hAnsi="Calibri" w:cs="Calibri"/>
          <w:color w:val="FF0000"/>
        </w:rPr>
        <w:t xml:space="preserve">(Include if investing during a rights issue)  </w:t>
      </w:r>
      <w:r w:rsidR="00F856EE" w:rsidRPr="00B53555">
        <w:rPr>
          <w:rFonts w:ascii="Calibri" w:eastAsia="Calibri" w:hAnsi="Calibri" w:cs="Calibri"/>
          <w:color w:val="FF0000"/>
        </w:rPr>
        <w:t>As</w:t>
      </w:r>
      <w:r w:rsidR="001951AC" w:rsidRPr="00B53555">
        <w:rPr>
          <w:rFonts w:ascii="Calibri" w:eastAsia="Calibri" w:hAnsi="Calibri" w:cs="Calibri"/>
          <w:color w:val="FF0000"/>
        </w:rPr>
        <w:t xml:space="preserve"> </w:t>
      </w:r>
      <w:r w:rsidRPr="00B53555">
        <w:rPr>
          <w:rFonts w:ascii="Calibri" w:eastAsia="Calibri" w:hAnsi="Calibri" w:cs="Calibri"/>
          <w:color w:val="FF0000"/>
        </w:rPr>
        <w:t>discussed,</w:t>
      </w:r>
      <w:r w:rsidR="001951AC" w:rsidRPr="00B53555">
        <w:rPr>
          <w:rFonts w:ascii="Calibri" w:eastAsia="Calibri" w:hAnsi="Calibri" w:cs="Calibri"/>
          <w:color w:val="FF0000"/>
        </w:rPr>
        <w:t xml:space="preserve"> you will making this top-up under a rights issue and as I have explained</w:t>
      </w:r>
      <w:r w:rsidR="00637D01" w:rsidRPr="00B53555">
        <w:rPr>
          <w:rFonts w:ascii="Calibri" w:eastAsia="Calibri" w:hAnsi="Calibri" w:cs="Calibri"/>
          <w:color w:val="FF0000"/>
        </w:rPr>
        <w:t xml:space="preserve">, the new shares </w:t>
      </w:r>
      <w:r w:rsidR="00F856EE" w:rsidRPr="00B53555">
        <w:rPr>
          <w:rFonts w:ascii="Calibri" w:eastAsia="Calibri" w:hAnsi="Calibri" w:cs="Calibri"/>
          <w:color w:val="FF0000"/>
        </w:rPr>
        <w:t>purchased</w:t>
      </w:r>
      <w:r w:rsidR="001951AC" w:rsidRPr="00B53555">
        <w:rPr>
          <w:rFonts w:ascii="Calibri" w:eastAsia="Calibri" w:hAnsi="Calibri" w:cs="Calibri"/>
          <w:color w:val="FF0000"/>
        </w:rPr>
        <w:t xml:space="preserve"> </w:t>
      </w:r>
      <w:r w:rsidR="00F856EE" w:rsidRPr="00B53555">
        <w:rPr>
          <w:rFonts w:ascii="Calibri" w:eastAsia="Calibri" w:hAnsi="Calibri" w:cs="Calibri"/>
          <w:color w:val="FF0000"/>
        </w:rPr>
        <w:t xml:space="preserve">will </w:t>
      </w:r>
      <w:r w:rsidR="001951AC" w:rsidRPr="00B53555">
        <w:rPr>
          <w:rFonts w:ascii="Calibri" w:eastAsia="Calibri" w:hAnsi="Calibri" w:cs="Calibri"/>
          <w:color w:val="FF0000"/>
        </w:rPr>
        <w:t xml:space="preserve">have the same ownership period as the </w:t>
      </w:r>
      <w:r w:rsidR="00637D01" w:rsidRPr="00B53555">
        <w:rPr>
          <w:rFonts w:ascii="Calibri" w:eastAsia="Calibri" w:hAnsi="Calibri" w:cs="Calibri"/>
          <w:color w:val="FF0000"/>
        </w:rPr>
        <w:t xml:space="preserve">shares </w:t>
      </w:r>
      <w:r w:rsidR="00F856EE" w:rsidRPr="00B53555">
        <w:rPr>
          <w:rFonts w:ascii="Calibri" w:eastAsia="Calibri" w:hAnsi="Calibri" w:cs="Calibri"/>
          <w:color w:val="FF0000"/>
        </w:rPr>
        <w:t>you already own</w:t>
      </w:r>
      <w:r w:rsidR="00637D01" w:rsidRPr="00B53555">
        <w:rPr>
          <w:rFonts w:ascii="Calibri" w:eastAsia="Calibri" w:hAnsi="Calibri" w:cs="Calibri"/>
          <w:color w:val="FF0000"/>
        </w:rPr>
        <w:t xml:space="preserve">. </w:t>
      </w:r>
    </w:p>
    <w:p w14:paraId="0DCBCF54" w14:textId="77777777" w:rsidR="00013B95" w:rsidRPr="00D968FE" w:rsidRDefault="00013B95" w:rsidP="00D968FE">
      <w:pPr>
        <w:pStyle w:val="ListParagraph"/>
        <w:rPr>
          <w:rFonts w:ascii="Calibri" w:eastAsia="Calibri" w:hAnsi="Calibri" w:cs="Calibri"/>
          <w:color w:val="FF0000"/>
        </w:rPr>
      </w:pPr>
    </w:p>
    <w:p w14:paraId="6E56A964" w14:textId="5574C7F8" w:rsidR="00AA7F1D" w:rsidRPr="00D968FE" w:rsidRDefault="00637D01" w:rsidP="00D968FE">
      <w:pPr>
        <w:pStyle w:val="ListParagraph"/>
        <w:spacing w:line="276" w:lineRule="auto"/>
        <w:ind w:right="3"/>
        <w:jc w:val="both"/>
        <w:rPr>
          <w:rFonts w:ascii="Calibri" w:eastAsia="Calibri" w:hAnsi="Calibri" w:cs="Calibri"/>
          <w:color w:val="FF0000"/>
        </w:rPr>
      </w:pPr>
      <w:r w:rsidRPr="00D968FE">
        <w:rPr>
          <w:rFonts w:ascii="Calibri" w:eastAsia="Calibri" w:hAnsi="Calibri" w:cs="Calibri"/>
          <w:color w:val="FF0000"/>
        </w:rPr>
        <w:t xml:space="preserve">Therefore, </w:t>
      </w:r>
      <w:r w:rsidR="00F856EE" w:rsidRPr="00D968FE">
        <w:rPr>
          <w:rFonts w:ascii="Calibri" w:eastAsia="Calibri" w:hAnsi="Calibri" w:cs="Calibri"/>
          <w:color w:val="FF0000"/>
        </w:rPr>
        <w:t>as your initial shares were purchased more than 2 ye</w:t>
      </w:r>
      <w:r w:rsidR="00F856EE" w:rsidRPr="00013B95">
        <w:rPr>
          <w:rFonts w:ascii="Calibri" w:eastAsia="Calibri" w:hAnsi="Calibri" w:cs="Calibri"/>
          <w:color w:val="FF0000"/>
        </w:rPr>
        <w:t>a</w:t>
      </w:r>
      <w:r w:rsidR="00F856EE" w:rsidRPr="00D968FE">
        <w:rPr>
          <w:rFonts w:ascii="Calibri" w:eastAsia="Calibri" w:hAnsi="Calibri" w:cs="Calibri"/>
          <w:color w:val="FF0000"/>
        </w:rPr>
        <w:t>rs ago</w:t>
      </w:r>
      <w:r w:rsidRPr="00D968FE">
        <w:rPr>
          <w:rFonts w:ascii="Calibri" w:eastAsia="Calibri" w:hAnsi="Calibri" w:cs="Calibri"/>
          <w:color w:val="FF0000"/>
        </w:rPr>
        <w:t xml:space="preserve">, the new shares </w:t>
      </w:r>
      <w:r w:rsidR="00F856EE" w:rsidRPr="00D968FE">
        <w:rPr>
          <w:rFonts w:ascii="Calibri" w:eastAsia="Calibri" w:hAnsi="Calibri" w:cs="Calibri"/>
          <w:color w:val="FF0000"/>
        </w:rPr>
        <w:t>will</w:t>
      </w:r>
      <w:r w:rsidR="00445A5E" w:rsidRPr="00696F8D">
        <w:rPr>
          <w:rFonts w:ascii="Calibri" w:eastAsia="Calibri" w:hAnsi="Calibri" w:cs="Calibri"/>
          <w:color w:val="FF0000"/>
        </w:rPr>
        <w:t xml:space="preserve"> </w:t>
      </w:r>
      <w:r w:rsidRPr="00D968FE">
        <w:rPr>
          <w:rFonts w:ascii="Calibri" w:eastAsia="Calibri" w:hAnsi="Calibri" w:cs="Calibri"/>
          <w:color w:val="FF0000"/>
        </w:rPr>
        <w:t xml:space="preserve">automatically </w:t>
      </w:r>
      <w:r w:rsidR="00445A5E" w:rsidRPr="00054C85">
        <w:rPr>
          <w:rFonts w:ascii="Calibri" w:eastAsia="Calibri" w:hAnsi="Calibri" w:cs="Calibri"/>
          <w:color w:val="FF0000"/>
        </w:rPr>
        <w:t>qualify</w:t>
      </w:r>
      <w:r w:rsidR="00445A5E">
        <w:rPr>
          <w:rFonts w:ascii="Calibri" w:eastAsia="Calibri" w:hAnsi="Calibri" w:cs="Calibri"/>
          <w:color w:val="FF0000"/>
        </w:rPr>
        <w:t xml:space="preserve"> for</w:t>
      </w:r>
      <w:r w:rsidR="00445A5E" w:rsidRPr="00054C85">
        <w:rPr>
          <w:rFonts w:ascii="Calibri" w:eastAsia="Calibri" w:hAnsi="Calibri" w:cs="Calibri"/>
          <w:color w:val="FF0000"/>
        </w:rPr>
        <w:t xml:space="preserve"> </w:t>
      </w:r>
      <w:r w:rsidRPr="00D968FE">
        <w:rPr>
          <w:rFonts w:ascii="Calibri" w:eastAsia="Calibri" w:hAnsi="Calibri" w:cs="Calibri"/>
          <w:color w:val="FF0000"/>
        </w:rPr>
        <w:t>BR</w:t>
      </w:r>
      <w:r w:rsidR="00F856EE" w:rsidRPr="00D968FE">
        <w:rPr>
          <w:rFonts w:ascii="Calibri" w:eastAsia="Calibri" w:hAnsi="Calibri" w:cs="Calibri"/>
          <w:color w:val="FF0000"/>
        </w:rPr>
        <w:t xml:space="preserve"> and</w:t>
      </w:r>
      <w:r w:rsidR="00445A5E">
        <w:rPr>
          <w:rFonts w:ascii="Calibri" w:eastAsia="Calibri" w:hAnsi="Calibri" w:cs="Calibri"/>
          <w:color w:val="FF0000"/>
        </w:rPr>
        <w:t xml:space="preserve"> be</w:t>
      </w:r>
      <w:r w:rsidR="00F856EE" w:rsidRPr="00D968FE">
        <w:rPr>
          <w:rFonts w:ascii="Calibri" w:eastAsia="Calibri" w:hAnsi="Calibri" w:cs="Calibri"/>
          <w:color w:val="FF0000"/>
        </w:rPr>
        <w:t xml:space="preserve"> IHT free</w:t>
      </w:r>
      <w:r w:rsidRPr="00D968FE">
        <w:rPr>
          <w:rFonts w:ascii="Calibri" w:eastAsia="Calibri" w:hAnsi="Calibri" w:cs="Calibri"/>
          <w:color w:val="FF0000"/>
        </w:rPr>
        <w:t>.</w:t>
      </w:r>
      <w:r w:rsidR="001951AC">
        <w:rPr>
          <w:rFonts w:ascii="Calibri" w:eastAsia="Calibri" w:hAnsi="Calibri" w:cs="Calibri"/>
          <w:color w:val="FF0000"/>
        </w:rPr>
        <w:t xml:space="preserve"> </w:t>
      </w:r>
    </w:p>
    <w:p w14:paraId="6815F21E" w14:textId="77777777" w:rsidR="00F856EE" w:rsidRPr="00D968FE" w:rsidRDefault="00F856EE" w:rsidP="00D968FE">
      <w:pPr>
        <w:pStyle w:val="ListParagraph"/>
        <w:rPr>
          <w:rFonts w:ascii="Calibri" w:eastAsia="Calibri" w:hAnsi="Calibri" w:cs="Calibri"/>
          <w:color w:val="FF0000"/>
        </w:rPr>
      </w:pPr>
    </w:p>
    <w:p w14:paraId="139F79F2" w14:textId="6B475BA6" w:rsidR="00F856EE" w:rsidRPr="00D968FE" w:rsidRDefault="00F856EE" w:rsidP="00F856EE">
      <w:pPr>
        <w:pStyle w:val="ListParagraph"/>
        <w:spacing w:line="276" w:lineRule="auto"/>
        <w:ind w:right="3"/>
        <w:jc w:val="both"/>
        <w:rPr>
          <w:rFonts w:ascii="Calibri" w:eastAsia="Calibri" w:hAnsi="Calibri" w:cs="Calibri"/>
          <w:color w:val="FF0000"/>
        </w:rPr>
      </w:pPr>
      <w:r w:rsidRPr="00D968FE">
        <w:rPr>
          <w:rFonts w:ascii="Calibri" w:eastAsia="Calibri" w:hAnsi="Calibri" w:cs="Calibri"/>
          <w:color w:val="FF0000"/>
        </w:rPr>
        <w:t xml:space="preserve">Or </w:t>
      </w:r>
    </w:p>
    <w:p w14:paraId="2B93E64B" w14:textId="63F68FCE" w:rsidR="00F856EE" w:rsidRPr="00D968FE" w:rsidRDefault="00F856EE" w:rsidP="00F856EE">
      <w:pPr>
        <w:pStyle w:val="ListParagraph"/>
        <w:spacing w:line="276" w:lineRule="auto"/>
        <w:ind w:right="3"/>
        <w:jc w:val="both"/>
        <w:rPr>
          <w:rFonts w:ascii="Calibri" w:eastAsia="Calibri" w:hAnsi="Calibri" w:cs="Calibri"/>
          <w:color w:val="FF0000"/>
        </w:rPr>
      </w:pPr>
    </w:p>
    <w:p w14:paraId="6B5C4C60" w14:textId="7C284C4F" w:rsidR="0084654D" w:rsidRDefault="00F856EE">
      <w:pPr>
        <w:pStyle w:val="ListParagraph"/>
        <w:spacing w:line="276" w:lineRule="auto"/>
        <w:ind w:right="3"/>
        <w:jc w:val="both"/>
        <w:rPr>
          <w:rFonts w:ascii="Calibri" w:eastAsia="Calibri" w:hAnsi="Calibri" w:cs="Calibri"/>
          <w:color w:val="FF0000"/>
        </w:rPr>
      </w:pPr>
      <w:r w:rsidRPr="00D968FE">
        <w:rPr>
          <w:rFonts w:ascii="Calibri" w:eastAsia="Calibri" w:hAnsi="Calibri" w:cs="Calibri"/>
          <w:color w:val="FF0000"/>
        </w:rPr>
        <w:t xml:space="preserve">Therefore, </w:t>
      </w:r>
      <w:r w:rsidR="00BB6C3A">
        <w:rPr>
          <w:rFonts w:ascii="Calibri" w:eastAsia="Calibri" w:hAnsi="Calibri" w:cs="Calibri"/>
          <w:color w:val="FF0000"/>
        </w:rPr>
        <w:t>as your original shares were purchased [X] months ago</w:t>
      </w:r>
      <w:r w:rsidRPr="00D968FE">
        <w:rPr>
          <w:rFonts w:ascii="Calibri" w:eastAsia="Calibri" w:hAnsi="Calibri" w:cs="Calibri"/>
          <w:color w:val="FF0000"/>
        </w:rPr>
        <w:t>, the</w:t>
      </w:r>
      <w:r w:rsidR="00445A5E">
        <w:rPr>
          <w:rFonts w:ascii="Calibri" w:eastAsia="Calibri" w:hAnsi="Calibri" w:cs="Calibri"/>
          <w:color w:val="FF0000"/>
        </w:rPr>
        <w:t>se</w:t>
      </w:r>
      <w:r w:rsidR="00BB6C3A">
        <w:rPr>
          <w:rFonts w:ascii="Calibri" w:eastAsia="Calibri" w:hAnsi="Calibri" w:cs="Calibri"/>
          <w:color w:val="FF0000"/>
        </w:rPr>
        <w:t xml:space="preserve"> shares and the</w:t>
      </w:r>
      <w:r w:rsidRPr="00D968FE">
        <w:rPr>
          <w:rFonts w:ascii="Calibri" w:eastAsia="Calibri" w:hAnsi="Calibri" w:cs="Calibri"/>
          <w:color w:val="FF0000"/>
        </w:rPr>
        <w:t xml:space="preserve"> new shares </w:t>
      </w:r>
      <w:r w:rsidR="00BB6C3A">
        <w:rPr>
          <w:rFonts w:ascii="Calibri" w:eastAsia="Calibri" w:hAnsi="Calibri" w:cs="Calibri"/>
          <w:color w:val="FF0000"/>
        </w:rPr>
        <w:t>purchased through the rights issue will be</w:t>
      </w:r>
      <w:r w:rsidRPr="00D968FE">
        <w:rPr>
          <w:rFonts w:ascii="Calibri" w:eastAsia="Calibri" w:hAnsi="Calibri" w:cs="Calibri"/>
          <w:color w:val="FF0000"/>
        </w:rPr>
        <w:t xml:space="preserve"> BR</w:t>
      </w:r>
      <w:r w:rsidR="00BB6C3A">
        <w:rPr>
          <w:rFonts w:ascii="Calibri" w:eastAsia="Calibri" w:hAnsi="Calibri" w:cs="Calibri"/>
          <w:color w:val="FF0000"/>
        </w:rPr>
        <w:t xml:space="preserve"> qualifying in [X] months</w:t>
      </w:r>
      <w:r w:rsidRPr="00D968FE">
        <w:rPr>
          <w:rFonts w:ascii="Calibri" w:eastAsia="Calibri" w:hAnsi="Calibri" w:cs="Calibri"/>
          <w:color w:val="FF0000"/>
        </w:rPr>
        <w:t>.</w:t>
      </w:r>
    </w:p>
    <w:p w14:paraId="281A7615" w14:textId="77777777" w:rsidR="0084654D" w:rsidRPr="00D968FE" w:rsidRDefault="0084654D" w:rsidP="00D968FE">
      <w:pPr>
        <w:pStyle w:val="ListParagraph"/>
        <w:spacing w:line="276" w:lineRule="auto"/>
        <w:ind w:right="3"/>
        <w:jc w:val="both"/>
        <w:rPr>
          <w:rFonts w:ascii="Calibri" w:eastAsia="Calibri" w:hAnsi="Calibri" w:cs="Calibri"/>
          <w:color w:val="FF0000"/>
        </w:rPr>
      </w:pPr>
    </w:p>
    <w:p w14:paraId="2A4312ED" w14:textId="511AB986" w:rsidR="005F485B" w:rsidRPr="00B53555" w:rsidRDefault="00A304BC" w:rsidP="00D968FE">
      <w:pPr>
        <w:pStyle w:val="ListParagraph"/>
        <w:numPr>
          <w:ilvl w:val="0"/>
          <w:numId w:val="9"/>
        </w:numPr>
        <w:spacing w:line="276" w:lineRule="auto"/>
        <w:ind w:right="3"/>
        <w:jc w:val="both"/>
        <w:rPr>
          <w:rFonts w:ascii="Calibri" w:eastAsia="Calibri" w:hAnsi="Calibri" w:cs="Calibri"/>
        </w:rPr>
      </w:pPr>
      <w:r w:rsidRPr="00B53555">
        <w:rPr>
          <w:rFonts w:ascii="Calibri" w:eastAsia="Calibri" w:hAnsi="Calibri" w:cs="Calibri"/>
        </w:rPr>
        <w:t xml:space="preserve">This is the only </w:t>
      </w:r>
      <w:r w:rsidR="00276B3F">
        <w:rPr>
          <w:rFonts w:ascii="Calibri" w:eastAsia="Calibri" w:hAnsi="Calibri" w:cs="Calibri"/>
        </w:rPr>
        <w:t xml:space="preserve">type of </w:t>
      </w:r>
      <w:r w:rsidRPr="00B53555">
        <w:rPr>
          <w:rFonts w:ascii="Calibri" w:eastAsia="Calibri" w:hAnsi="Calibri" w:cs="Calibri"/>
        </w:rPr>
        <w:t xml:space="preserve">investment currently available </w:t>
      </w:r>
      <w:r w:rsidR="00276B3F">
        <w:rPr>
          <w:rFonts w:ascii="Calibri" w:eastAsia="Calibri" w:hAnsi="Calibri" w:cs="Calibri"/>
        </w:rPr>
        <w:t>that can</w:t>
      </w:r>
      <w:r w:rsidRPr="00B53555">
        <w:rPr>
          <w:rFonts w:ascii="Calibri" w:eastAsia="Calibri" w:hAnsi="Calibri" w:cs="Calibri"/>
        </w:rPr>
        <w:t xml:space="preserve"> provide IHT relief</w:t>
      </w:r>
      <w:r w:rsidR="00276B3F">
        <w:rPr>
          <w:rFonts w:ascii="Calibri" w:eastAsia="Calibri" w:hAnsi="Calibri" w:cs="Calibri"/>
        </w:rPr>
        <w:t xml:space="preserve"> this quickly</w:t>
      </w:r>
      <w:r w:rsidR="00A73C6F" w:rsidRPr="00B53555">
        <w:rPr>
          <w:rFonts w:ascii="Calibri" w:eastAsia="Calibri" w:hAnsi="Calibri" w:cs="Calibri"/>
        </w:rPr>
        <w:t>,</w:t>
      </w:r>
      <w:r w:rsidRPr="00B53555">
        <w:rPr>
          <w:rFonts w:ascii="Calibri" w:eastAsia="Calibri" w:hAnsi="Calibri" w:cs="Calibri"/>
        </w:rPr>
        <w:t xml:space="preserve"> which </w:t>
      </w:r>
      <w:r w:rsidR="00C83B78" w:rsidRPr="00B53555">
        <w:rPr>
          <w:rFonts w:ascii="Calibri" w:eastAsia="Calibri" w:hAnsi="Calibri" w:cs="Calibri"/>
        </w:rPr>
        <w:t>achieves</w:t>
      </w:r>
      <w:r w:rsidRPr="00B53555">
        <w:rPr>
          <w:rFonts w:ascii="Calibri" w:eastAsia="Calibri" w:hAnsi="Calibri" w:cs="Calibri"/>
        </w:rPr>
        <w:t xml:space="preserve"> one of your key planning objectives </w:t>
      </w:r>
      <w:r w:rsidR="00C83B78" w:rsidRPr="00B53555">
        <w:rPr>
          <w:rFonts w:ascii="Calibri" w:eastAsia="Calibri" w:hAnsi="Calibri" w:cs="Calibri"/>
        </w:rPr>
        <w:t>by</w:t>
      </w:r>
      <w:r w:rsidRPr="00B53555">
        <w:rPr>
          <w:rFonts w:ascii="Calibri" w:eastAsia="Calibri" w:hAnsi="Calibri" w:cs="Calibri"/>
        </w:rPr>
        <w:t xml:space="preserve"> reduc</w:t>
      </w:r>
      <w:r w:rsidR="00C83B78" w:rsidRPr="00B53555">
        <w:rPr>
          <w:rFonts w:ascii="Calibri" w:eastAsia="Calibri" w:hAnsi="Calibri" w:cs="Calibri"/>
        </w:rPr>
        <w:t>ing</w:t>
      </w:r>
      <w:r w:rsidRPr="00B53555">
        <w:rPr>
          <w:rFonts w:ascii="Calibri" w:eastAsia="Calibri" w:hAnsi="Calibri" w:cs="Calibri"/>
        </w:rPr>
        <w:t xml:space="preserve"> the value of </w:t>
      </w:r>
      <w:r w:rsidR="00C83B78" w:rsidRPr="00B53555">
        <w:rPr>
          <w:rFonts w:ascii="Calibri" w:eastAsia="Calibri" w:hAnsi="Calibri" w:cs="Calibri"/>
        </w:rPr>
        <w:t xml:space="preserve">your taxable </w:t>
      </w:r>
      <w:r w:rsidRPr="00B53555">
        <w:rPr>
          <w:rFonts w:ascii="Calibri" w:eastAsia="Calibri" w:hAnsi="Calibri" w:cs="Calibri"/>
        </w:rPr>
        <w:t>estate for IHT purposes as quickly as possible.</w:t>
      </w:r>
    </w:p>
    <w:p w14:paraId="5F093DA3" w14:textId="77777777" w:rsidR="0084654D" w:rsidRPr="005C2D53" w:rsidRDefault="0084654D" w:rsidP="00D968FE">
      <w:pPr>
        <w:pStyle w:val="ListParagraph"/>
        <w:spacing w:line="276" w:lineRule="auto"/>
        <w:ind w:right="3"/>
        <w:jc w:val="both"/>
      </w:pPr>
    </w:p>
    <w:p w14:paraId="7C954403" w14:textId="04F4ECAF" w:rsidR="00E916A7" w:rsidRPr="00D968FE" w:rsidRDefault="008B2D61" w:rsidP="00E916A7">
      <w:pPr>
        <w:pStyle w:val="ListParagraph"/>
        <w:numPr>
          <w:ilvl w:val="0"/>
          <w:numId w:val="9"/>
        </w:numPr>
        <w:spacing w:after="240" w:line="276" w:lineRule="auto"/>
        <w:jc w:val="both"/>
        <w:rPr>
          <w:rFonts w:asciiTheme="minorHAnsi" w:hAnsiTheme="minorHAnsi" w:cstheme="minorHAnsi"/>
        </w:rPr>
      </w:pPr>
      <w:r w:rsidRPr="009809CC">
        <w:rPr>
          <w:rFonts w:ascii="Calibri" w:eastAsia="Calibri" w:hAnsi="Calibri" w:cs="Calibri"/>
        </w:rPr>
        <w:t>Octopus ITS targets an average return of 3% each year on the amount invested (after deduction of initial charges</w:t>
      </w:r>
      <w:r w:rsidR="00994A17" w:rsidRPr="009809CC">
        <w:rPr>
          <w:rFonts w:ascii="Calibri" w:eastAsia="Calibri" w:hAnsi="Calibri" w:cs="Calibri"/>
        </w:rPr>
        <w:t>,</w:t>
      </w:r>
      <w:r w:rsidRPr="009809CC">
        <w:rPr>
          <w:rFonts w:ascii="Calibri" w:eastAsia="Calibri" w:hAnsi="Calibri" w:cs="Calibri"/>
        </w:rPr>
        <w:t xml:space="preserve"> dealing fees</w:t>
      </w:r>
      <w:r w:rsidR="00994A17" w:rsidRPr="009809CC">
        <w:rPr>
          <w:rFonts w:ascii="Calibri" w:eastAsia="Calibri" w:hAnsi="Calibri" w:cs="Calibri"/>
        </w:rPr>
        <w:t xml:space="preserve"> and AMC</w:t>
      </w:r>
      <w:r w:rsidRPr="009809CC">
        <w:rPr>
          <w:rFonts w:ascii="Calibri" w:eastAsia="Calibri" w:hAnsi="Calibri" w:cs="Calibri"/>
        </w:rPr>
        <w:t xml:space="preserve">).  </w:t>
      </w:r>
      <w:r w:rsidRPr="00D968FE">
        <w:rPr>
          <w:rFonts w:ascii="Calibri" w:eastAsia="Calibri" w:hAnsi="Calibri" w:cs="Calibri"/>
        </w:rPr>
        <w:t xml:space="preserve">To date, </w:t>
      </w:r>
      <w:r w:rsidR="00994A17" w:rsidRPr="00D968FE">
        <w:rPr>
          <w:rFonts w:ascii="Calibri" w:eastAsia="Calibri" w:hAnsi="Calibri" w:cs="Calibri"/>
        </w:rPr>
        <w:t xml:space="preserve">the majority of </w:t>
      </w:r>
      <w:r w:rsidRPr="00D968FE">
        <w:rPr>
          <w:rFonts w:ascii="Calibri" w:eastAsia="Calibri" w:hAnsi="Calibri" w:cs="Calibri"/>
        </w:rPr>
        <w:t xml:space="preserve">investors who’ve held their investment for at least two years have achieved the target average return. </w:t>
      </w:r>
    </w:p>
    <w:p w14:paraId="6DE9B238" w14:textId="2AEB4CC0" w:rsidR="00E916A7" w:rsidRPr="00D968FE" w:rsidRDefault="00141E8B" w:rsidP="00E916A7">
      <w:pPr>
        <w:spacing w:after="240" w:line="276" w:lineRule="auto"/>
        <w:ind w:left="720"/>
        <w:jc w:val="both"/>
        <w:rPr>
          <w:rFonts w:asciiTheme="minorHAnsi" w:hAnsiTheme="minorHAnsi" w:cstheme="minorHAnsi"/>
        </w:rPr>
      </w:pPr>
      <w:r>
        <w:rPr>
          <w:rFonts w:asciiTheme="minorHAnsi" w:hAnsiTheme="minorHAnsi" w:cstheme="minorHAnsi"/>
        </w:rPr>
        <w:t>This is in part due to the way that Octopus collects its AMC (called the Growth Shield)</w:t>
      </w:r>
      <w:r w:rsidR="00E916A7" w:rsidRPr="00D968FE">
        <w:rPr>
          <w:rFonts w:asciiTheme="minorHAnsi" w:hAnsiTheme="minorHAnsi" w:cstheme="minorHAnsi"/>
        </w:rPr>
        <w:t xml:space="preserve">.  This does not prevent investment losses but works in the following way to give you a buffer against </w:t>
      </w:r>
      <w:r w:rsidR="009618EF" w:rsidRPr="00D968FE">
        <w:rPr>
          <w:rFonts w:asciiTheme="minorHAnsi" w:hAnsiTheme="minorHAnsi" w:cstheme="minorHAnsi"/>
        </w:rPr>
        <w:t xml:space="preserve">some of the </w:t>
      </w:r>
      <w:r w:rsidR="00E916A7" w:rsidRPr="00D968FE">
        <w:rPr>
          <w:rFonts w:asciiTheme="minorHAnsi" w:hAnsiTheme="minorHAnsi" w:cstheme="minorHAnsi"/>
        </w:rPr>
        <w:t>losses</w:t>
      </w:r>
      <w:r w:rsidR="00B06FEC" w:rsidRPr="00D968FE">
        <w:rPr>
          <w:rFonts w:asciiTheme="minorHAnsi" w:hAnsiTheme="minorHAnsi" w:cstheme="minorHAnsi"/>
        </w:rPr>
        <w:t xml:space="preserve">; </w:t>
      </w:r>
    </w:p>
    <w:p w14:paraId="2BFB941D" w14:textId="1FEC1BBF" w:rsidR="00B06FEC" w:rsidRPr="00D968FE" w:rsidRDefault="00D013A6" w:rsidP="00E916A7">
      <w:pPr>
        <w:pStyle w:val="ListParagraph"/>
        <w:numPr>
          <w:ilvl w:val="0"/>
          <w:numId w:val="5"/>
        </w:numPr>
        <w:spacing w:after="240" w:line="276" w:lineRule="auto"/>
        <w:ind w:left="1134"/>
        <w:jc w:val="both"/>
        <w:rPr>
          <w:rFonts w:asciiTheme="minorHAnsi" w:hAnsiTheme="minorHAnsi" w:cstheme="minorHAnsi"/>
        </w:rPr>
      </w:pPr>
      <w:r w:rsidRPr="00D968FE">
        <w:rPr>
          <w:rFonts w:asciiTheme="minorHAnsi" w:hAnsiTheme="minorHAnsi" w:cstheme="minorHAnsi"/>
        </w:rPr>
        <w:t xml:space="preserve">The </w:t>
      </w:r>
      <w:r w:rsidR="00B06FEC" w:rsidRPr="00D968FE">
        <w:rPr>
          <w:rFonts w:asciiTheme="minorHAnsi" w:hAnsiTheme="minorHAnsi" w:cstheme="minorHAnsi"/>
        </w:rPr>
        <w:t>G</w:t>
      </w:r>
      <w:r w:rsidRPr="00D968FE">
        <w:rPr>
          <w:rFonts w:asciiTheme="minorHAnsi" w:hAnsiTheme="minorHAnsi" w:cstheme="minorHAnsi"/>
        </w:rPr>
        <w:t xml:space="preserve">rowth </w:t>
      </w:r>
      <w:r w:rsidR="00B06FEC" w:rsidRPr="00D968FE">
        <w:rPr>
          <w:rFonts w:asciiTheme="minorHAnsi" w:hAnsiTheme="minorHAnsi" w:cstheme="minorHAnsi"/>
        </w:rPr>
        <w:t>S</w:t>
      </w:r>
      <w:r w:rsidRPr="00D968FE">
        <w:rPr>
          <w:rFonts w:asciiTheme="minorHAnsi" w:hAnsiTheme="minorHAnsi" w:cstheme="minorHAnsi"/>
        </w:rPr>
        <w:t xml:space="preserve">hield is </w:t>
      </w:r>
      <w:r w:rsidR="00B06FEC" w:rsidRPr="00D968FE">
        <w:rPr>
          <w:rFonts w:asciiTheme="minorHAnsi" w:hAnsiTheme="minorHAnsi" w:cstheme="minorHAnsi"/>
        </w:rPr>
        <w:t xml:space="preserve">Octopus’ </w:t>
      </w:r>
      <w:r w:rsidRPr="00D968FE">
        <w:rPr>
          <w:rFonts w:asciiTheme="minorHAnsi" w:hAnsiTheme="minorHAnsi" w:cstheme="minorHAnsi"/>
        </w:rPr>
        <w:t xml:space="preserve">annual management charge </w:t>
      </w:r>
      <w:r w:rsidR="00E7422A" w:rsidRPr="00D968FE">
        <w:rPr>
          <w:rFonts w:asciiTheme="minorHAnsi" w:hAnsiTheme="minorHAnsi" w:cstheme="minorHAnsi"/>
        </w:rPr>
        <w:t xml:space="preserve">(AMC) </w:t>
      </w:r>
      <w:r w:rsidRPr="00D968FE">
        <w:rPr>
          <w:rFonts w:asciiTheme="minorHAnsi" w:hAnsiTheme="minorHAnsi" w:cstheme="minorHAnsi"/>
        </w:rPr>
        <w:t>that builds up over time in your portfolio</w:t>
      </w:r>
      <w:r w:rsidR="00B06FEC" w:rsidRPr="00D968FE">
        <w:rPr>
          <w:rFonts w:asciiTheme="minorHAnsi" w:hAnsiTheme="minorHAnsi" w:cstheme="minorHAnsi"/>
        </w:rPr>
        <w:t xml:space="preserve"> – this is 1% + VAT (1.20%)</w:t>
      </w:r>
      <w:r w:rsidR="00276A97" w:rsidRPr="00D968FE">
        <w:rPr>
          <w:rFonts w:asciiTheme="minorHAnsi" w:hAnsiTheme="minorHAnsi" w:cstheme="minorHAnsi"/>
        </w:rPr>
        <w:t xml:space="preserve"> each year</w:t>
      </w:r>
      <w:r w:rsidRPr="00D968FE">
        <w:rPr>
          <w:rFonts w:asciiTheme="minorHAnsi" w:hAnsiTheme="minorHAnsi" w:cstheme="minorHAnsi"/>
        </w:rPr>
        <w:t>.</w:t>
      </w:r>
      <w:r w:rsidR="00B06FEC" w:rsidRPr="00D968FE">
        <w:rPr>
          <w:rFonts w:asciiTheme="minorHAnsi" w:hAnsiTheme="minorHAnsi" w:cstheme="minorHAnsi"/>
        </w:rPr>
        <w:t xml:space="preserve">  </w:t>
      </w:r>
    </w:p>
    <w:p w14:paraId="4A01D083" w14:textId="40273E80" w:rsidR="00B06FEC" w:rsidRPr="00D968FE" w:rsidRDefault="00D013A6" w:rsidP="00E916A7">
      <w:pPr>
        <w:pStyle w:val="ListParagraph"/>
        <w:numPr>
          <w:ilvl w:val="0"/>
          <w:numId w:val="5"/>
        </w:numPr>
        <w:spacing w:after="240" w:line="276" w:lineRule="auto"/>
        <w:ind w:left="1134"/>
        <w:jc w:val="both"/>
        <w:rPr>
          <w:rFonts w:asciiTheme="minorHAnsi" w:hAnsiTheme="minorHAnsi" w:cstheme="minorHAnsi"/>
        </w:rPr>
      </w:pPr>
      <w:r w:rsidRPr="00D968FE">
        <w:rPr>
          <w:rFonts w:asciiTheme="minorHAnsi" w:hAnsiTheme="minorHAnsi" w:cstheme="minorHAnsi"/>
        </w:rPr>
        <w:t xml:space="preserve">Octopus will only take </w:t>
      </w:r>
      <w:r w:rsidR="00B06FEC" w:rsidRPr="00D968FE">
        <w:rPr>
          <w:rFonts w:asciiTheme="minorHAnsi" w:hAnsiTheme="minorHAnsi" w:cstheme="minorHAnsi"/>
        </w:rPr>
        <w:t xml:space="preserve">this AMC </w:t>
      </w:r>
      <w:r w:rsidR="00E916A7" w:rsidRPr="00D968FE">
        <w:rPr>
          <w:rFonts w:asciiTheme="minorHAnsi" w:hAnsiTheme="minorHAnsi" w:cstheme="minorHAnsi"/>
        </w:rPr>
        <w:t>when</w:t>
      </w:r>
      <w:r w:rsidRPr="00D968FE">
        <w:rPr>
          <w:rFonts w:asciiTheme="minorHAnsi" w:hAnsiTheme="minorHAnsi" w:cstheme="minorHAnsi"/>
        </w:rPr>
        <w:t xml:space="preserve"> you or your beneficiaries ask them to sell shares </w:t>
      </w:r>
      <w:r w:rsidR="00B06FEC" w:rsidRPr="00D968FE">
        <w:rPr>
          <w:rFonts w:asciiTheme="minorHAnsi" w:hAnsiTheme="minorHAnsi" w:cstheme="minorHAnsi"/>
        </w:rPr>
        <w:t xml:space="preserve">but only </w:t>
      </w:r>
      <w:r w:rsidRPr="00D968FE">
        <w:rPr>
          <w:rFonts w:asciiTheme="minorHAnsi" w:hAnsiTheme="minorHAnsi" w:cstheme="minorHAnsi"/>
        </w:rPr>
        <w:t xml:space="preserve">if the growth target </w:t>
      </w:r>
      <w:r w:rsidR="00E916A7" w:rsidRPr="00D968FE">
        <w:rPr>
          <w:rFonts w:asciiTheme="minorHAnsi" w:hAnsiTheme="minorHAnsi" w:cstheme="minorHAnsi"/>
        </w:rPr>
        <w:t xml:space="preserve">of 3% each year has been met </w:t>
      </w:r>
      <w:r w:rsidRPr="00D968FE">
        <w:rPr>
          <w:rFonts w:asciiTheme="minorHAnsi" w:hAnsiTheme="minorHAnsi" w:cstheme="minorHAnsi"/>
        </w:rPr>
        <w:t xml:space="preserve">over the lifetime of </w:t>
      </w:r>
      <w:r w:rsidR="00E916A7" w:rsidRPr="00D968FE">
        <w:rPr>
          <w:rFonts w:asciiTheme="minorHAnsi" w:hAnsiTheme="minorHAnsi" w:cstheme="minorHAnsi"/>
        </w:rPr>
        <w:t>your</w:t>
      </w:r>
      <w:r w:rsidRPr="00D968FE">
        <w:rPr>
          <w:rFonts w:asciiTheme="minorHAnsi" w:hAnsiTheme="minorHAnsi" w:cstheme="minorHAnsi"/>
        </w:rPr>
        <w:t xml:space="preserve"> investment. </w:t>
      </w:r>
    </w:p>
    <w:p w14:paraId="48443DEF" w14:textId="241105E7" w:rsidR="00994A17" w:rsidRPr="009809CC" w:rsidRDefault="00994A17" w:rsidP="00994A17">
      <w:pPr>
        <w:pStyle w:val="ListParagraph"/>
        <w:numPr>
          <w:ilvl w:val="0"/>
          <w:numId w:val="5"/>
        </w:numPr>
        <w:rPr>
          <w:rFonts w:asciiTheme="minorHAnsi" w:hAnsiTheme="minorHAnsi" w:cstheme="minorHAnsi"/>
        </w:rPr>
      </w:pPr>
      <w:r w:rsidRPr="009809CC">
        <w:rPr>
          <w:rFonts w:asciiTheme="minorHAnsi" w:hAnsiTheme="minorHAnsi" w:cstheme="minorHAnsi"/>
        </w:rPr>
        <w:t>If your portfolio drops in value, the Growth Shield</w:t>
      </w:r>
      <w:r w:rsidR="00BB6C3A" w:rsidRPr="009809CC">
        <w:rPr>
          <w:rFonts w:asciiTheme="minorHAnsi" w:hAnsiTheme="minorHAnsi" w:cstheme="minorHAnsi"/>
        </w:rPr>
        <w:t xml:space="preserve"> which has been building up</w:t>
      </w:r>
      <w:r w:rsidRPr="009809CC">
        <w:rPr>
          <w:rFonts w:asciiTheme="minorHAnsi" w:hAnsiTheme="minorHAnsi" w:cstheme="minorHAnsi"/>
        </w:rPr>
        <w:t xml:space="preserve"> will absorb this reduction in value </w:t>
      </w:r>
      <w:r w:rsidR="00BB6C3A" w:rsidRPr="009809CC">
        <w:rPr>
          <w:rFonts w:asciiTheme="minorHAnsi" w:hAnsiTheme="minorHAnsi" w:cstheme="minorHAnsi"/>
        </w:rPr>
        <w:t>first before</w:t>
      </w:r>
      <w:r w:rsidRPr="009809CC">
        <w:rPr>
          <w:rFonts w:asciiTheme="minorHAnsi" w:hAnsiTheme="minorHAnsi" w:cstheme="minorHAnsi"/>
        </w:rPr>
        <w:t xml:space="preserve"> the value of your investment falls. If the investment hasn’t achieved the target return over its lifetime, when </w:t>
      </w:r>
      <w:r w:rsidR="00CB79A7">
        <w:rPr>
          <w:rFonts w:asciiTheme="minorHAnsi" w:hAnsiTheme="minorHAnsi" w:cstheme="minorHAnsi"/>
        </w:rPr>
        <w:t>shares are</w:t>
      </w:r>
      <w:r w:rsidRPr="009809CC">
        <w:rPr>
          <w:rFonts w:asciiTheme="minorHAnsi" w:hAnsiTheme="minorHAnsi" w:cstheme="minorHAnsi"/>
        </w:rPr>
        <w:t xml:space="preserve"> sold, Octopus’ annual management charge will be reduced to help make up the shortfall. However, if your portfolio falls in value by more than the value of the accrued annual management charge, the Growth Shield would be used up and the value of the investment to you or your beneficiaries would reduce. </w:t>
      </w:r>
    </w:p>
    <w:p w14:paraId="389381A6" w14:textId="77777777" w:rsidR="00A73C6F" w:rsidRPr="00D968FE" w:rsidRDefault="00A73C6F" w:rsidP="00D968FE">
      <w:pPr>
        <w:pStyle w:val="ListParagraph"/>
        <w:spacing w:after="240" w:line="276" w:lineRule="auto"/>
        <w:jc w:val="both"/>
        <w:rPr>
          <w:rFonts w:ascii="Calibri" w:eastAsia="Calibri" w:hAnsi="Calibri" w:cs="Calibri"/>
        </w:rPr>
      </w:pPr>
    </w:p>
    <w:p w14:paraId="7FA7F163" w14:textId="7FBAB3DF" w:rsidR="00B06FEC" w:rsidRPr="00D968FE" w:rsidRDefault="00276A97" w:rsidP="00D968FE">
      <w:pPr>
        <w:pStyle w:val="ListParagraph"/>
        <w:numPr>
          <w:ilvl w:val="0"/>
          <w:numId w:val="5"/>
        </w:numPr>
        <w:spacing w:after="240" w:line="276" w:lineRule="auto"/>
        <w:jc w:val="both"/>
        <w:rPr>
          <w:rFonts w:ascii="Calibri" w:eastAsia="Calibri" w:hAnsi="Calibri" w:cs="Calibri"/>
        </w:rPr>
      </w:pPr>
      <w:r w:rsidRPr="00D968FE">
        <w:rPr>
          <w:rFonts w:asciiTheme="minorHAnsi" w:hAnsiTheme="minorHAnsi" w:cstheme="minorHAnsi"/>
        </w:rPr>
        <w:t>B</w:t>
      </w:r>
      <w:r w:rsidR="00E7422A" w:rsidRPr="00D968FE">
        <w:rPr>
          <w:rFonts w:asciiTheme="minorHAnsi" w:hAnsiTheme="minorHAnsi" w:cstheme="minorHAnsi"/>
        </w:rPr>
        <w:t xml:space="preserve">ased on your latest valuation dated </w:t>
      </w:r>
      <w:r w:rsidRPr="00D968FE">
        <w:rPr>
          <w:rFonts w:asciiTheme="minorHAnsi" w:hAnsiTheme="minorHAnsi" w:cstheme="minorHAnsi"/>
          <w:color w:val="FF0000"/>
        </w:rPr>
        <w:t xml:space="preserve">dd mm </w:t>
      </w:r>
      <w:proofErr w:type="spellStart"/>
      <w:r w:rsidRPr="00D968FE">
        <w:rPr>
          <w:rFonts w:asciiTheme="minorHAnsi" w:hAnsiTheme="minorHAnsi" w:cstheme="minorHAnsi"/>
          <w:color w:val="FF0000"/>
        </w:rPr>
        <w:t>yyyy</w:t>
      </w:r>
      <w:proofErr w:type="spellEnd"/>
      <w:r w:rsidR="00E7422A" w:rsidRPr="00D968FE">
        <w:rPr>
          <w:rFonts w:asciiTheme="minorHAnsi" w:hAnsiTheme="minorHAnsi" w:cstheme="minorHAnsi"/>
          <w:color w:val="FF0000"/>
        </w:rPr>
        <w:t xml:space="preserve"> </w:t>
      </w:r>
      <w:r w:rsidR="00E7422A" w:rsidRPr="00D968FE">
        <w:rPr>
          <w:rFonts w:asciiTheme="minorHAnsi" w:hAnsiTheme="minorHAnsi" w:cstheme="minorHAnsi"/>
        </w:rPr>
        <w:t xml:space="preserve">you have built up </w:t>
      </w:r>
      <w:r w:rsidR="00E7422A" w:rsidRPr="00D968FE">
        <w:rPr>
          <w:rFonts w:asciiTheme="minorHAnsi" w:hAnsiTheme="minorHAnsi" w:cstheme="minorHAnsi"/>
          <w:color w:val="FF0000"/>
        </w:rPr>
        <w:t>£</w:t>
      </w:r>
      <w:r w:rsidRPr="00D968FE">
        <w:rPr>
          <w:rFonts w:asciiTheme="minorHAnsi" w:hAnsiTheme="minorHAnsi" w:cstheme="minorHAnsi"/>
          <w:color w:val="FF0000"/>
        </w:rPr>
        <w:t>x</w:t>
      </w:r>
      <w:r w:rsidR="00E7422A" w:rsidRPr="00D968FE">
        <w:rPr>
          <w:rFonts w:asciiTheme="minorHAnsi" w:hAnsiTheme="minorHAnsi" w:cstheme="minorHAnsi"/>
          <w:color w:val="FF0000"/>
        </w:rPr>
        <w:t xml:space="preserve"> </w:t>
      </w:r>
      <w:r w:rsidR="00E7422A" w:rsidRPr="00D968FE">
        <w:rPr>
          <w:rFonts w:asciiTheme="minorHAnsi" w:hAnsiTheme="minorHAnsi" w:cstheme="minorHAnsi"/>
        </w:rPr>
        <w:t>in accrued AMC.</w:t>
      </w:r>
      <w:r w:rsidR="00B06FEC" w:rsidRPr="00D968FE">
        <w:rPr>
          <w:rFonts w:ascii="Calibri" w:eastAsia="Calibri" w:hAnsi="Calibri" w:cs="Calibri"/>
        </w:rPr>
        <w:t xml:space="preserve">   </w:t>
      </w:r>
    </w:p>
    <w:p w14:paraId="3928F816" w14:textId="7D74A9ED" w:rsidR="00B06FEC" w:rsidRDefault="00B06FEC" w:rsidP="00B06FEC">
      <w:pPr>
        <w:pStyle w:val="ListParagraph"/>
        <w:numPr>
          <w:ilvl w:val="0"/>
          <w:numId w:val="9"/>
        </w:numPr>
        <w:spacing w:after="240" w:line="276" w:lineRule="auto"/>
        <w:jc w:val="both"/>
        <w:rPr>
          <w:rFonts w:ascii="Calibri" w:eastAsia="Calibri" w:hAnsi="Calibri" w:cs="Calibri"/>
        </w:rPr>
      </w:pPr>
      <w:r w:rsidRPr="00637D01">
        <w:rPr>
          <w:rFonts w:ascii="Calibri" w:eastAsia="Calibri" w:hAnsi="Calibri" w:cs="Calibri"/>
        </w:rPr>
        <w:t>You can access the funds if you need to.  Withdrawal requests typically take 10 working days.  Although do bear in mind that any IHT relief will be lost on the money taken out.</w:t>
      </w:r>
    </w:p>
    <w:p w14:paraId="749CF13C" w14:textId="0083A672" w:rsidR="00315905" w:rsidRDefault="00BC55FA" w:rsidP="008B2D61">
      <w:pPr>
        <w:spacing w:line="276" w:lineRule="auto"/>
        <w:ind w:right="3"/>
        <w:jc w:val="both"/>
        <w:rPr>
          <w:rFonts w:ascii="Calibri" w:eastAsia="Calibri" w:hAnsi="Calibri" w:cs="Calibri"/>
        </w:rPr>
      </w:pPr>
      <w:r>
        <w:rPr>
          <w:rFonts w:ascii="Calibri" w:eastAsia="Calibri" w:hAnsi="Calibri" w:cs="Calibri"/>
        </w:rPr>
        <w:t>There are s</w:t>
      </w:r>
      <w:r w:rsidR="008B2D61">
        <w:rPr>
          <w:rFonts w:ascii="Calibri" w:eastAsia="Calibri" w:hAnsi="Calibri" w:cs="Calibri"/>
        </w:rPr>
        <w:t>everal providers in the market</w:t>
      </w:r>
      <w:r>
        <w:rPr>
          <w:rFonts w:ascii="Calibri" w:eastAsia="Calibri" w:hAnsi="Calibri" w:cs="Calibri"/>
        </w:rPr>
        <w:t xml:space="preserve"> who offer</w:t>
      </w:r>
      <w:r w:rsidR="008B2D61">
        <w:rPr>
          <w:rFonts w:ascii="Calibri" w:eastAsia="Calibri" w:hAnsi="Calibri" w:cs="Calibri"/>
        </w:rPr>
        <w:t xml:space="preserve"> IHT efficient products</w:t>
      </w:r>
      <w:r w:rsidR="00A304BC">
        <w:rPr>
          <w:rFonts w:ascii="Calibri" w:eastAsia="Calibri" w:hAnsi="Calibri" w:cs="Calibri"/>
        </w:rPr>
        <w:t xml:space="preserve"> and w</w:t>
      </w:r>
      <w:r w:rsidR="008B2D61">
        <w:rPr>
          <w:rFonts w:ascii="Calibri" w:eastAsia="Calibri" w:hAnsi="Calibri" w:cs="Calibri"/>
        </w:rPr>
        <w:t xml:space="preserve">e could </w:t>
      </w:r>
      <w:r w:rsidR="00CB79A7">
        <w:rPr>
          <w:rFonts w:ascii="Calibri" w:eastAsia="Calibri" w:hAnsi="Calibri" w:cs="Calibri"/>
        </w:rPr>
        <w:t xml:space="preserve">invest </w:t>
      </w:r>
      <w:r w:rsidR="00E332B3">
        <w:rPr>
          <w:rFonts w:ascii="Calibri" w:eastAsia="Calibri" w:hAnsi="Calibri" w:cs="Calibri"/>
        </w:rPr>
        <w:t>incremental funds in</w:t>
      </w:r>
      <w:r w:rsidR="00CB79A7">
        <w:rPr>
          <w:rFonts w:ascii="Calibri" w:eastAsia="Calibri" w:hAnsi="Calibri" w:cs="Calibri"/>
        </w:rPr>
        <w:t xml:space="preserve"> a portfolio managed by a different manager</w:t>
      </w:r>
      <w:r w:rsidR="00656F1F">
        <w:rPr>
          <w:rFonts w:ascii="Calibri" w:eastAsia="Calibri" w:hAnsi="Calibri" w:cs="Calibri"/>
        </w:rPr>
        <w:t xml:space="preserve">. </w:t>
      </w:r>
      <w:r w:rsidR="008B2D61">
        <w:rPr>
          <w:rFonts w:ascii="Calibri" w:eastAsia="Calibri" w:hAnsi="Calibri" w:cs="Calibri"/>
        </w:rPr>
        <w:t>However, diversification for the sake of it</w:t>
      </w:r>
      <w:r w:rsidR="00A821BA">
        <w:rPr>
          <w:rFonts w:ascii="Calibri" w:eastAsia="Calibri" w:hAnsi="Calibri" w:cs="Calibri"/>
        </w:rPr>
        <w:t xml:space="preserve"> for this portion of your </w:t>
      </w:r>
      <w:r w:rsidR="00A821BA">
        <w:rPr>
          <w:rFonts w:ascii="Calibri" w:eastAsia="Calibri" w:hAnsi="Calibri" w:cs="Calibri"/>
        </w:rPr>
        <w:lastRenderedPageBreak/>
        <w:t>wealth</w:t>
      </w:r>
      <w:r w:rsidR="008B2D61">
        <w:rPr>
          <w:rFonts w:ascii="Calibri" w:eastAsia="Calibri" w:hAnsi="Calibri" w:cs="Calibri"/>
        </w:rPr>
        <w:t xml:space="preserve"> is not appropriate and you wish to keep your financial affairs as simple as possible. </w:t>
      </w:r>
      <w:r w:rsidR="00A73C6F">
        <w:rPr>
          <w:rFonts w:ascii="Calibri" w:eastAsia="Calibri" w:hAnsi="Calibri" w:cs="Calibri"/>
        </w:rPr>
        <w:t xml:space="preserve">Moreover, the Octopus ITS is </w:t>
      </w:r>
      <w:r w:rsidR="00656F1F">
        <w:rPr>
          <w:rFonts w:ascii="Calibri" w:eastAsia="Calibri" w:hAnsi="Calibri" w:cs="Calibri"/>
        </w:rPr>
        <w:t>the largest product in the market offering inbuilt diversification.</w:t>
      </w:r>
    </w:p>
    <w:p w14:paraId="70F5BB67" w14:textId="77777777" w:rsidR="00315905" w:rsidRDefault="00315905" w:rsidP="008B2D61">
      <w:pPr>
        <w:spacing w:line="276" w:lineRule="auto"/>
        <w:ind w:right="3"/>
        <w:jc w:val="both"/>
        <w:rPr>
          <w:rFonts w:ascii="Calibri" w:eastAsia="Calibri" w:hAnsi="Calibri" w:cs="Calibri"/>
        </w:rPr>
      </w:pPr>
    </w:p>
    <w:p w14:paraId="52343EB0" w14:textId="769604D9" w:rsidR="008B2D61" w:rsidRDefault="008B2D61" w:rsidP="008B2D61">
      <w:pPr>
        <w:spacing w:line="276" w:lineRule="auto"/>
        <w:ind w:right="3"/>
        <w:jc w:val="both"/>
        <w:rPr>
          <w:rFonts w:ascii="Calibri" w:eastAsia="Calibri" w:hAnsi="Calibri" w:cs="Calibri"/>
        </w:rPr>
      </w:pPr>
      <w:r>
        <w:rPr>
          <w:rFonts w:ascii="Calibri" w:eastAsia="Calibri" w:hAnsi="Calibri" w:cs="Calibri"/>
        </w:rPr>
        <w:t>I am recommending you continue with Octopus as they are one of the most experienced providers of this kind and have a strong track record</w:t>
      </w:r>
      <w:r w:rsidR="00656F1F">
        <w:rPr>
          <w:rFonts w:ascii="Calibri" w:eastAsia="Calibri" w:hAnsi="Calibri" w:cs="Calibri"/>
        </w:rPr>
        <w:t xml:space="preserve"> and market leading product governance</w:t>
      </w:r>
      <w:r>
        <w:rPr>
          <w:rFonts w:ascii="Calibri" w:eastAsia="Calibri" w:hAnsi="Calibri" w:cs="Calibri"/>
        </w:rPr>
        <w:t>. The Octopus ITS mandate has remained the same from the day it started</w:t>
      </w:r>
      <w:r w:rsidR="00BA13C9">
        <w:rPr>
          <w:rFonts w:ascii="Calibri" w:eastAsia="Calibri" w:hAnsi="Calibri" w:cs="Calibri"/>
        </w:rPr>
        <w:t xml:space="preserve"> and there are no plans to</w:t>
      </w:r>
      <w:r w:rsidR="007500B0">
        <w:rPr>
          <w:rFonts w:ascii="Calibri" w:eastAsia="Calibri" w:hAnsi="Calibri" w:cs="Calibri"/>
        </w:rPr>
        <w:t xml:space="preserve"> change this</w:t>
      </w:r>
      <w:r w:rsidR="00A73C6F">
        <w:rPr>
          <w:rFonts w:ascii="Calibri" w:eastAsia="Calibri" w:hAnsi="Calibri" w:cs="Calibri"/>
        </w:rPr>
        <w:t>.</w:t>
      </w:r>
      <w:r w:rsidR="004C1275">
        <w:rPr>
          <w:rFonts w:ascii="Calibri" w:eastAsia="Calibri" w:hAnsi="Calibri" w:cs="Calibri"/>
        </w:rPr>
        <w:t xml:space="preserve"> To summarise, </w:t>
      </w:r>
      <w:r w:rsidR="00A73C6F">
        <w:rPr>
          <w:rFonts w:ascii="Calibri" w:eastAsia="Calibri" w:hAnsi="Calibri" w:cs="Calibri"/>
        </w:rPr>
        <w:t>I believe the Octopus ITS is the most likely product to</w:t>
      </w:r>
      <w:r w:rsidR="00656F1F">
        <w:rPr>
          <w:rFonts w:ascii="Calibri" w:eastAsia="Calibri" w:hAnsi="Calibri" w:cs="Calibri"/>
        </w:rPr>
        <w:t xml:space="preserve"> meet</w:t>
      </w:r>
      <w:r w:rsidR="00A73C6F">
        <w:rPr>
          <w:rFonts w:ascii="Calibri" w:eastAsia="Calibri" w:hAnsi="Calibri" w:cs="Calibri"/>
        </w:rPr>
        <w:t xml:space="preserve"> your</w:t>
      </w:r>
      <w:r>
        <w:rPr>
          <w:rFonts w:ascii="Calibri" w:eastAsia="Calibri" w:hAnsi="Calibri" w:cs="Calibri"/>
        </w:rPr>
        <w:t xml:space="preserve"> objectives by providing:</w:t>
      </w:r>
    </w:p>
    <w:p w14:paraId="29F2E3BC" w14:textId="77777777" w:rsidR="008B2D61" w:rsidRDefault="008B2D61" w:rsidP="008B2D61">
      <w:pPr>
        <w:spacing w:line="276" w:lineRule="auto"/>
        <w:ind w:right="3"/>
        <w:jc w:val="both"/>
        <w:rPr>
          <w:rFonts w:ascii="Calibri" w:eastAsia="Calibri" w:hAnsi="Calibri" w:cs="Calibri"/>
        </w:rPr>
      </w:pPr>
    </w:p>
    <w:p w14:paraId="13A64A35" w14:textId="34DA7F8D" w:rsidR="008B2D61" w:rsidRPr="008B2D61" w:rsidRDefault="00A73C6F" w:rsidP="008B2D61">
      <w:pPr>
        <w:pStyle w:val="ListParagraph"/>
        <w:numPr>
          <w:ilvl w:val="0"/>
          <w:numId w:val="8"/>
        </w:numPr>
        <w:spacing w:line="276" w:lineRule="auto"/>
        <w:ind w:right="3"/>
        <w:jc w:val="both"/>
        <w:rPr>
          <w:rFonts w:ascii="Calibri" w:eastAsia="Calibri" w:hAnsi="Calibri" w:cs="Calibri"/>
          <w:color w:val="000000"/>
        </w:rPr>
      </w:pPr>
      <w:r>
        <w:rPr>
          <w:rFonts w:ascii="Calibri" w:eastAsia="Calibri" w:hAnsi="Calibri" w:cs="Calibri"/>
          <w:color w:val="000000"/>
        </w:rPr>
        <w:t xml:space="preserve">The fastest possible </w:t>
      </w:r>
      <w:r w:rsidR="008B2D61" w:rsidRPr="008B2D61">
        <w:rPr>
          <w:rFonts w:ascii="Calibri" w:eastAsia="Calibri" w:hAnsi="Calibri" w:cs="Calibri"/>
          <w:color w:val="000000"/>
        </w:rPr>
        <w:t>BR qualification</w:t>
      </w:r>
      <w:r>
        <w:rPr>
          <w:rFonts w:ascii="Calibri" w:eastAsia="Calibri" w:hAnsi="Calibri" w:cs="Calibri"/>
          <w:color w:val="000000"/>
        </w:rPr>
        <w:t xml:space="preserve"> and greatest track record of successfully providing the </w:t>
      </w:r>
      <w:proofErr w:type="gramStart"/>
      <w:r>
        <w:rPr>
          <w:rFonts w:ascii="Calibri" w:eastAsia="Calibri" w:hAnsi="Calibri" w:cs="Calibri"/>
          <w:color w:val="000000"/>
        </w:rPr>
        <w:t>relief</w:t>
      </w:r>
      <w:proofErr w:type="gramEnd"/>
    </w:p>
    <w:p w14:paraId="6D7989E0" w14:textId="73E2AFDF" w:rsidR="008B2D61" w:rsidRPr="008B2D61" w:rsidRDefault="008B2D61" w:rsidP="008B2D61">
      <w:pPr>
        <w:pStyle w:val="ListParagraph"/>
        <w:numPr>
          <w:ilvl w:val="0"/>
          <w:numId w:val="8"/>
        </w:numPr>
        <w:pBdr>
          <w:top w:val="nil"/>
          <w:left w:val="nil"/>
          <w:bottom w:val="nil"/>
          <w:right w:val="nil"/>
          <w:between w:val="nil"/>
        </w:pBdr>
        <w:spacing w:line="276" w:lineRule="auto"/>
        <w:ind w:right="3"/>
        <w:jc w:val="both"/>
        <w:rPr>
          <w:rFonts w:ascii="Calibri" w:eastAsia="Calibri" w:hAnsi="Calibri" w:cs="Calibri"/>
          <w:color w:val="000000"/>
        </w:rPr>
      </w:pPr>
      <w:r w:rsidRPr="008B2D61">
        <w:rPr>
          <w:rFonts w:ascii="Calibri" w:eastAsia="Calibri" w:hAnsi="Calibri" w:cs="Calibri"/>
          <w:color w:val="000000"/>
        </w:rPr>
        <w:t>Liquidity</w:t>
      </w:r>
    </w:p>
    <w:p w14:paraId="6AAB402C" w14:textId="748B4CAC" w:rsidR="008B2D61" w:rsidRDefault="008B2D61" w:rsidP="008B2D61">
      <w:pPr>
        <w:pStyle w:val="ListParagraph"/>
        <w:numPr>
          <w:ilvl w:val="0"/>
          <w:numId w:val="8"/>
        </w:numPr>
        <w:pBdr>
          <w:top w:val="nil"/>
          <w:left w:val="nil"/>
          <w:bottom w:val="nil"/>
          <w:right w:val="nil"/>
          <w:between w:val="nil"/>
        </w:pBdr>
        <w:spacing w:line="276" w:lineRule="auto"/>
        <w:ind w:right="3"/>
        <w:jc w:val="both"/>
        <w:rPr>
          <w:rFonts w:ascii="Calibri" w:eastAsia="Calibri" w:hAnsi="Calibri" w:cs="Calibri"/>
          <w:color w:val="000000"/>
        </w:rPr>
      </w:pPr>
      <w:r w:rsidRPr="008B2D61">
        <w:rPr>
          <w:rFonts w:ascii="Calibri" w:eastAsia="Calibri" w:hAnsi="Calibri" w:cs="Calibri"/>
          <w:color w:val="000000"/>
        </w:rPr>
        <w:t>Modest and predictable return</w:t>
      </w:r>
    </w:p>
    <w:p w14:paraId="440D48B4" w14:textId="247C1ED3" w:rsidR="008B2D61" w:rsidRDefault="008B2D61" w:rsidP="008B2D61">
      <w:pPr>
        <w:spacing w:line="276" w:lineRule="auto"/>
        <w:ind w:right="3"/>
        <w:jc w:val="both"/>
        <w:rPr>
          <w:rFonts w:ascii="Calibri" w:eastAsia="Calibri" w:hAnsi="Calibri" w:cs="Calibri"/>
        </w:rPr>
      </w:pPr>
    </w:p>
    <w:p w14:paraId="7E850446" w14:textId="63A6CA2D" w:rsidR="00315905" w:rsidRDefault="00315905" w:rsidP="00315905">
      <w:pPr>
        <w:jc w:val="both"/>
        <w:rPr>
          <w:rFonts w:ascii="Calibri" w:eastAsia="Calibri" w:hAnsi="Calibri" w:cs="Calibri"/>
          <w:b/>
        </w:rPr>
      </w:pPr>
      <w:r>
        <w:rPr>
          <w:rFonts w:ascii="Calibri" w:eastAsia="Calibri" w:hAnsi="Calibri" w:cs="Calibri"/>
        </w:rPr>
        <w:t xml:space="preserve">I have enclosed a factsheet which details where your investment will be held and recent performance.  </w:t>
      </w:r>
    </w:p>
    <w:p w14:paraId="27302EED" w14:textId="335AD013" w:rsidR="00D013A6" w:rsidRDefault="00F73C06" w:rsidP="008B2D61">
      <w:pPr>
        <w:rPr>
          <w:rFonts w:ascii="Calibri" w:eastAsia="Calibri" w:hAnsi="Calibri" w:cs="Calibri"/>
          <w:color w:val="FF0000"/>
        </w:rPr>
      </w:pPr>
      <w:hyperlink r:id="rId9" w:history="1">
        <w:r w:rsidR="00D013A6" w:rsidRPr="000D5BF1">
          <w:rPr>
            <w:rStyle w:val="Hyperlink"/>
            <w:rFonts w:ascii="Calibri" w:eastAsia="Calibri" w:hAnsi="Calibri" w:cs="Calibri"/>
          </w:rPr>
          <w:t>https://media.octopusinvestments.com/m/349748755c195f99/original/Details-of-underlying-investments.pdf</w:t>
        </w:r>
      </w:hyperlink>
    </w:p>
    <w:p w14:paraId="35EFA9B2" w14:textId="241AD8B3" w:rsidR="00315905" w:rsidRPr="008B2D61" w:rsidRDefault="00315905" w:rsidP="008B2D61">
      <w:pPr>
        <w:rPr>
          <w:rFonts w:ascii="Calibri" w:eastAsia="Calibri" w:hAnsi="Calibri" w:cs="Calibri"/>
          <w:color w:val="FF0000"/>
        </w:rPr>
      </w:pPr>
    </w:p>
    <w:p w14:paraId="183E93E1" w14:textId="77777777" w:rsidR="008C2371" w:rsidRDefault="008C2371"/>
    <w:p w14:paraId="0BCCCA8F" w14:textId="106F1E25" w:rsidR="008C2371" w:rsidRDefault="005C2D53">
      <w:pPr>
        <w:pStyle w:val="Heading1"/>
        <w:numPr>
          <w:ilvl w:val="0"/>
          <w:numId w:val="3"/>
        </w:numPr>
        <w:pBdr>
          <w:bottom w:val="single" w:sz="12" w:space="1" w:color="629DD1"/>
        </w:pBdr>
        <w:spacing w:line="276" w:lineRule="auto"/>
        <w:jc w:val="both"/>
        <w:rPr>
          <w:rFonts w:ascii="Calibri" w:eastAsia="Calibri" w:hAnsi="Calibri" w:cs="Calibri"/>
          <w:sz w:val="20"/>
          <w:szCs w:val="20"/>
        </w:rPr>
      </w:pPr>
      <w:bookmarkStart w:id="5" w:name="_heading=h.3dy6vkm" w:colFirst="0" w:colLast="0"/>
      <w:bookmarkEnd w:id="5"/>
      <w:r>
        <w:rPr>
          <w:rFonts w:ascii="Calibri" w:eastAsia="Calibri" w:hAnsi="Calibri" w:cs="Calibri"/>
          <w:sz w:val="20"/>
          <w:szCs w:val="20"/>
        </w:rPr>
        <w:t>Key Risks</w:t>
      </w:r>
    </w:p>
    <w:p w14:paraId="4A839003" w14:textId="77777777" w:rsidR="008C2371" w:rsidRDefault="008C2371">
      <w:pPr>
        <w:spacing w:line="276" w:lineRule="auto"/>
        <w:ind w:right="3"/>
        <w:jc w:val="both"/>
        <w:rPr>
          <w:rFonts w:ascii="Calibri" w:eastAsia="Calibri" w:hAnsi="Calibri" w:cs="Calibri"/>
        </w:rPr>
      </w:pPr>
    </w:p>
    <w:p w14:paraId="36B287D7" w14:textId="1FCAFE4E" w:rsidR="008C2371" w:rsidRDefault="00315905">
      <w:pPr>
        <w:spacing w:line="276" w:lineRule="auto"/>
        <w:ind w:right="3"/>
        <w:jc w:val="both"/>
        <w:rPr>
          <w:rFonts w:ascii="Calibri" w:eastAsia="Calibri" w:hAnsi="Calibri" w:cs="Calibri"/>
        </w:rPr>
      </w:pPr>
      <w:bookmarkStart w:id="6" w:name="_heading=h.1t3h5sf" w:colFirst="0" w:colLast="0"/>
      <w:bookmarkEnd w:id="6"/>
      <w:r>
        <w:rPr>
          <w:rFonts w:ascii="Calibri" w:eastAsia="Calibri" w:hAnsi="Calibri" w:cs="Calibri"/>
        </w:rPr>
        <w:t xml:space="preserve">Please refer to my report of </w:t>
      </w:r>
      <w:r w:rsidRPr="00315905">
        <w:rPr>
          <w:rFonts w:ascii="Calibri" w:eastAsia="Calibri" w:hAnsi="Calibri" w:cs="Calibri"/>
          <w:color w:val="FF0000"/>
        </w:rPr>
        <w:t xml:space="preserve">dd mm </w:t>
      </w:r>
      <w:proofErr w:type="spellStart"/>
      <w:r w:rsidRPr="00315905">
        <w:rPr>
          <w:rFonts w:ascii="Calibri" w:eastAsia="Calibri" w:hAnsi="Calibri" w:cs="Calibri"/>
          <w:color w:val="FF0000"/>
        </w:rPr>
        <w:t>yy</w:t>
      </w:r>
      <w:proofErr w:type="spellEnd"/>
      <w:r w:rsidRPr="00315905">
        <w:rPr>
          <w:rFonts w:ascii="Calibri" w:eastAsia="Calibri" w:hAnsi="Calibri" w:cs="Calibri"/>
          <w:color w:val="FF0000"/>
        </w:rPr>
        <w:t xml:space="preserve"> </w:t>
      </w:r>
      <w:r>
        <w:rPr>
          <w:rFonts w:ascii="Calibri" w:eastAsia="Calibri" w:hAnsi="Calibri" w:cs="Calibri"/>
        </w:rPr>
        <w:t>for full details of the risks of this product.  The key risks are summarised below.</w:t>
      </w:r>
    </w:p>
    <w:p w14:paraId="498AC7A2" w14:textId="77777777" w:rsidR="003B31A0" w:rsidRDefault="003B31A0">
      <w:pPr>
        <w:spacing w:line="276" w:lineRule="auto"/>
        <w:ind w:right="3"/>
        <w:jc w:val="both"/>
        <w:rPr>
          <w:rFonts w:ascii="Calibri" w:eastAsia="Calibri" w:hAnsi="Calibri" w:cs="Calibri"/>
        </w:rPr>
      </w:pPr>
    </w:p>
    <w:tbl>
      <w:tblPr>
        <w:tblStyle w:val="a1"/>
        <w:tblW w:w="8784" w:type="dxa"/>
        <w:jc w:val="center"/>
        <w:tblBorders>
          <w:top w:val="single" w:sz="4" w:space="0" w:color="629DD1"/>
          <w:left w:val="single" w:sz="4" w:space="0" w:color="629DD1"/>
          <w:bottom w:val="single" w:sz="4" w:space="0" w:color="7EB2E6"/>
          <w:right w:val="single" w:sz="4" w:space="0" w:color="629DD1"/>
          <w:insideH w:val="single" w:sz="4" w:space="0" w:color="629DD1"/>
          <w:insideV w:val="single" w:sz="4" w:space="0" w:color="629DD1"/>
        </w:tblBorders>
        <w:tblLayout w:type="fixed"/>
        <w:tblLook w:val="06E0" w:firstRow="1" w:lastRow="1" w:firstColumn="1" w:lastColumn="0" w:noHBand="1" w:noVBand="1"/>
      </w:tblPr>
      <w:tblGrid>
        <w:gridCol w:w="2263"/>
        <w:gridCol w:w="6521"/>
      </w:tblGrid>
      <w:tr w:rsidR="004C1275" w14:paraId="1A33EA84" w14:textId="77777777" w:rsidTr="00D968FE">
        <w:trPr>
          <w:cnfStyle w:val="100000000000" w:firstRow="1" w:lastRow="0" w:firstColumn="0" w:lastColumn="0" w:oddVBand="0" w:evenVBand="0" w:oddHBand="0" w:evenHBand="0" w:firstRowFirstColumn="0" w:firstRowLastColumn="0" w:lastRowFirstColumn="0" w:lastRowLastColumn="0"/>
          <w:trHeight w:val="860"/>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right w:val="none" w:sz="0" w:space="0" w:color="auto"/>
            </w:tcBorders>
            <w:shd w:val="clear" w:color="auto" w:fill="629DD1" w:themeFill="accent2"/>
          </w:tcPr>
          <w:p w14:paraId="380F5549" w14:textId="58198B3F" w:rsidR="004C1275" w:rsidRPr="004C1275" w:rsidRDefault="004C1275" w:rsidP="009152D9">
            <w:pPr>
              <w:spacing w:line="276" w:lineRule="auto"/>
              <w:rPr>
                <w:color w:val="FFFFFF" w:themeColor="background1"/>
              </w:rPr>
            </w:pPr>
            <w:r w:rsidRPr="004C1275">
              <w:rPr>
                <w:color w:val="FFFFFF" w:themeColor="background1"/>
              </w:rPr>
              <w:t>Business Property Relief</w:t>
            </w:r>
          </w:p>
        </w:tc>
        <w:tc>
          <w:tcPr>
            <w:tcW w:w="6521" w:type="dxa"/>
            <w:tcBorders>
              <w:top w:val="none" w:sz="0" w:space="0" w:color="auto"/>
              <w:left w:val="none" w:sz="0" w:space="0" w:color="auto"/>
              <w:bottom w:val="none" w:sz="0" w:space="0" w:color="auto"/>
              <w:right w:val="none" w:sz="0" w:space="0" w:color="auto"/>
            </w:tcBorders>
            <w:shd w:val="clear" w:color="auto" w:fill="auto"/>
          </w:tcPr>
          <w:p w14:paraId="3F47A9B6" w14:textId="21FC443A" w:rsidR="00F55509" w:rsidRPr="004C1275" w:rsidRDefault="004C1275">
            <w:pPr>
              <w:spacing w:line="276" w:lineRule="auto"/>
              <w:jc w:val="both"/>
              <w:cnfStyle w:val="100000000000" w:firstRow="1" w:lastRow="0" w:firstColumn="0" w:lastColumn="0" w:oddVBand="0" w:evenVBand="0" w:oddHBand="0" w:evenHBand="0" w:firstRowFirstColumn="0" w:firstRowLastColumn="0" w:lastRowFirstColumn="0" w:lastRowLastColumn="0"/>
              <w:rPr>
                <w:b w:val="0"/>
                <w:bCs/>
                <w:color w:val="auto"/>
              </w:rPr>
            </w:pPr>
            <w:r w:rsidRPr="004C1275">
              <w:rPr>
                <w:b w:val="0"/>
                <w:bCs/>
                <w:color w:val="auto"/>
              </w:rPr>
              <w:t>BR is awarded on a case-by-case basis at the time of death.  It is not guaranteed.  Funds withdrawn from the product will no longer qualify for BR.</w:t>
            </w:r>
          </w:p>
        </w:tc>
      </w:tr>
      <w:tr w:rsidR="004C1275" w14:paraId="581100D5" w14:textId="77777777" w:rsidTr="00D968FE">
        <w:trPr>
          <w:trHeight w:val="385"/>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629DD1"/>
            </w:tcBorders>
            <w:shd w:val="clear" w:color="auto" w:fill="629DD1" w:themeFill="accent2"/>
          </w:tcPr>
          <w:p w14:paraId="54B88FEF" w14:textId="04497A72" w:rsidR="004C1275" w:rsidRPr="004C1275" w:rsidRDefault="004C1275" w:rsidP="009152D9">
            <w:pPr>
              <w:spacing w:line="276" w:lineRule="auto"/>
              <w:rPr>
                <w:color w:val="FFFFFF" w:themeColor="background1"/>
              </w:rPr>
            </w:pPr>
            <w:r w:rsidRPr="004C1275">
              <w:rPr>
                <w:color w:val="FFFFFF" w:themeColor="background1"/>
              </w:rPr>
              <w:t>Investment Returns</w:t>
            </w:r>
          </w:p>
        </w:tc>
        <w:tc>
          <w:tcPr>
            <w:tcW w:w="6521" w:type="dxa"/>
            <w:shd w:val="clear" w:color="auto" w:fill="auto"/>
          </w:tcPr>
          <w:p w14:paraId="25FF42A0" w14:textId="12E4F91C" w:rsidR="00F55509" w:rsidRDefault="004C1275">
            <w:pPr>
              <w:spacing w:line="276" w:lineRule="auto"/>
              <w:jc w:val="both"/>
              <w:cnfStyle w:val="000000000000" w:firstRow="0" w:lastRow="0" w:firstColumn="0" w:lastColumn="0" w:oddVBand="0" w:evenVBand="0" w:oddHBand="0" w:evenHBand="0" w:firstRowFirstColumn="0" w:firstRowLastColumn="0" w:lastRowFirstColumn="0" w:lastRowLastColumn="0"/>
              <w:rPr>
                <w:bCs/>
              </w:rPr>
            </w:pPr>
            <w:r w:rsidRPr="004C1275">
              <w:rPr>
                <w:bCs/>
              </w:rPr>
              <w:t>The target return of 3% net of charges is not guaranteed</w:t>
            </w:r>
            <w:r>
              <w:rPr>
                <w:bCs/>
              </w:rPr>
              <w:t>.  C</w:t>
            </w:r>
            <w:r w:rsidRPr="004C1275">
              <w:rPr>
                <w:bCs/>
              </w:rPr>
              <w:t>harges will also affect the value of your investment.</w:t>
            </w:r>
          </w:p>
          <w:p w14:paraId="4776B6B0" w14:textId="1DB04123" w:rsidR="004C1275" w:rsidRPr="004C1275" w:rsidRDefault="004C1275">
            <w:pPr>
              <w:spacing w:line="276" w:lineRule="auto"/>
              <w:jc w:val="both"/>
              <w:cnfStyle w:val="000000000000" w:firstRow="0" w:lastRow="0" w:firstColumn="0" w:lastColumn="0" w:oddVBand="0" w:evenVBand="0" w:oddHBand="0" w:evenHBand="0" w:firstRowFirstColumn="0" w:firstRowLastColumn="0" w:lastRowFirstColumn="0" w:lastRowLastColumn="0"/>
              <w:rPr>
                <w:bCs/>
                <w:color w:val="FF0000"/>
              </w:rPr>
            </w:pPr>
          </w:p>
        </w:tc>
      </w:tr>
      <w:tr w:rsidR="004C1275" w14:paraId="7CE7416F" w14:textId="77777777" w:rsidTr="00D968FE">
        <w:trPr>
          <w:cnfStyle w:val="010000000000" w:firstRow="0" w:lastRow="1" w:firstColumn="0" w:lastColumn="0" w:oddVBand="0" w:evenVBand="0" w:oddHBand="0"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bottom w:val="single" w:sz="4" w:space="0" w:color="7EB2E6"/>
            </w:tcBorders>
            <w:shd w:val="clear" w:color="auto" w:fill="629DD1" w:themeFill="accent2"/>
          </w:tcPr>
          <w:p w14:paraId="1F59C3A6" w14:textId="2329DD4A" w:rsidR="004C1275" w:rsidRPr="004C1275" w:rsidRDefault="004C1275" w:rsidP="009152D9">
            <w:pPr>
              <w:spacing w:line="276" w:lineRule="auto"/>
              <w:rPr>
                <w:color w:val="FFFFFF" w:themeColor="background1"/>
              </w:rPr>
            </w:pPr>
            <w:r w:rsidRPr="004C1275">
              <w:rPr>
                <w:color w:val="FFFFFF" w:themeColor="background1"/>
              </w:rPr>
              <w:t xml:space="preserve">Liquidity </w:t>
            </w:r>
          </w:p>
        </w:tc>
        <w:tc>
          <w:tcPr>
            <w:tcW w:w="6521" w:type="dxa"/>
            <w:tcBorders>
              <w:top w:val="none" w:sz="0" w:space="0" w:color="auto"/>
            </w:tcBorders>
            <w:shd w:val="clear" w:color="auto" w:fill="auto"/>
          </w:tcPr>
          <w:p w14:paraId="78A15FEE" w14:textId="1AF4A334" w:rsidR="00F55509" w:rsidRDefault="004C1275">
            <w:pPr>
              <w:spacing w:line="276" w:lineRule="auto"/>
              <w:jc w:val="both"/>
              <w:cnfStyle w:val="010000000000" w:firstRow="0" w:lastRow="1" w:firstColumn="0" w:lastColumn="0" w:oddVBand="0" w:evenVBand="0" w:oddHBand="0" w:evenHBand="0" w:firstRowFirstColumn="0" w:firstRowLastColumn="0" w:lastRowFirstColumn="0" w:lastRowLastColumn="0"/>
              <w:rPr>
                <w:bCs/>
              </w:rPr>
            </w:pPr>
            <w:r w:rsidRPr="004C1275">
              <w:rPr>
                <w:b w:val="0"/>
                <w:bCs/>
              </w:rPr>
              <w:t>Octopus ITS invests in unquoted companies and are less liquid than products that invest in stock</w:t>
            </w:r>
            <w:r w:rsidR="00C02FEF">
              <w:rPr>
                <w:b w:val="0"/>
                <w:bCs/>
              </w:rPr>
              <w:t xml:space="preserve"> </w:t>
            </w:r>
            <w:r w:rsidRPr="004C1275">
              <w:rPr>
                <w:b w:val="0"/>
                <w:bCs/>
              </w:rPr>
              <w:t>market listed companies.</w:t>
            </w:r>
            <w:r w:rsidR="00F55509">
              <w:rPr>
                <w:b w:val="0"/>
                <w:bCs/>
              </w:rPr>
              <w:t xml:space="preserve"> </w:t>
            </w:r>
            <w:r w:rsidRPr="004C1275">
              <w:rPr>
                <w:b w:val="0"/>
                <w:bCs/>
              </w:rPr>
              <w:t xml:space="preserve">Withdrawal requests are generally met within 10 working </w:t>
            </w:r>
            <w:r w:rsidR="00B71F9E" w:rsidRPr="004C1275">
              <w:rPr>
                <w:b w:val="0"/>
                <w:bCs/>
              </w:rPr>
              <w:t>days,</w:t>
            </w:r>
            <w:r w:rsidRPr="004C1275">
              <w:rPr>
                <w:b w:val="0"/>
                <w:bCs/>
              </w:rPr>
              <w:t xml:space="preserve"> but this is not guaranteed</w:t>
            </w:r>
            <w:r>
              <w:rPr>
                <w:b w:val="0"/>
                <w:bCs/>
              </w:rPr>
              <w:t>.</w:t>
            </w:r>
          </w:p>
          <w:p w14:paraId="51B369BB" w14:textId="20CAB9F8" w:rsidR="004C1275" w:rsidRPr="004C1275" w:rsidRDefault="004C1275">
            <w:pPr>
              <w:spacing w:line="276" w:lineRule="auto"/>
              <w:jc w:val="both"/>
              <w:cnfStyle w:val="010000000000" w:firstRow="0" w:lastRow="1" w:firstColumn="0" w:lastColumn="0" w:oddVBand="0" w:evenVBand="0" w:oddHBand="0" w:evenHBand="0" w:firstRowFirstColumn="0" w:firstRowLastColumn="0" w:lastRowFirstColumn="0" w:lastRowLastColumn="0"/>
              <w:rPr>
                <w:b w:val="0"/>
                <w:bCs/>
                <w:color w:val="FF0000"/>
              </w:rPr>
            </w:pPr>
          </w:p>
        </w:tc>
      </w:tr>
    </w:tbl>
    <w:p w14:paraId="2CE8C54B" w14:textId="78E5A768" w:rsidR="00315905" w:rsidRDefault="00315905">
      <w:pPr>
        <w:spacing w:line="276" w:lineRule="auto"/>
        <w:ind w:right="3"/>
        <w:jc w:val="both"/>
        <w:rPr>
          <w:rFonts w:ascii="Calibri" w:eastAsia="Calibri" w:hAnsi="Calibri" w:cs="Calibri"/>
        </w:rPr>
      </w:pPr>
    </w:p>
    <w:p w14:paraId="407E5A4F" w14:textId="77777777" w:rsidR="008C2371" w:rsidRDefault="008C2371">
      <w:pPr>
        <w:rPr>
          <w:rFonts w:ascii="Calibri" w:eastAsia="Calibri" w:hAnsi="Calibri" w:cs="Calibri"/>
          <w:b/>
        </w:rPr>
      </w:pPr>
      <w:bookmarkStart w:id="7" w:name="_heading=h.2s8eyo1" w:colFirst="0" w:colLast="0"/>
      <w:bookmarkEnd w:id="7"/>
    </w:p>
    <w:p w14:paraId="4A5B543A" w14:textId="00458533" w:rsidR="008C2371" w:rsidRDefault="00AF53B1">
      <w:pPr>
        <w:pStyle w:val="Heading1"/>
        <w:numPr>
          <w:ilvl w:val="0"/>
          <w:numId w:val="3"/>
        </w:numPr>
        <w:pBdr>
          <w:bottom w:val="single" w:sz="12" w:space="1" w:color="629DD1"/>
        </w:pBdr>
        <w:spacing w:line="276" w:lineRule="auto"/>
        <w:rPr>
          <w:rFonts w:ascii="Calibri" w:eastAsia="Calibri" w:hAnsi="Calibri" w:cs="Calibri"/>
          <w:sz w:val="20"/>
          <w:szCs w:val="20"/>
        </w:rPr>
      </w:pPr>
      <w:r>
        <w:rPr>
          <w:rFonts w:ascii="Calibri" w:eastAsia="Calibri" w:hAnsi="Calibri" w:cs="Calibri"/>
          <w:sz w:val="20"/>
          <w:szCs w:val="20"/>
        </w:rPr>
        <w:t>Cost</w:t>
      </w:r>
      <w:r w:rsidR="00DB5B6E">
        <w:rPr>
          <w:rFonts w:ascii="Calibri" w:eastAsia="Calibri" w:hAnsi="Calibri" w:cs="Calibri"/>
          <w:sz w:val="20"/>
          <w:szCs w:val="20"/>
        </w:rPr>
        <w:t>s</w:t>
      </w:r>
    </w:p>
    <w:p w14:paraId="68C02191" w14:textId="77777777" w:rsidR="008C2371" w:rsidRDefault="008C2371">
      <w:pPr>
        <w:spacing w:line="276" w:lineRule="auto"/>
        <w:rPr>
          <w:rFonts w:ascii="Calibri" w:eastAsia="Calibri" w:hAnsi="Calibri" w:cs="Calibri"/>
        </w:rPr>
      </w:pPr>
    </w:p>
    <w:p w14:paraId="2DD497E3" w14:textId="77777777" w:rsidR="008C2371" w:rsidRDefault="00AF53B1">
      <w:pPr>
        <w:spacing w:line="276" w:lineRule="auto"/>
        <w:rPr>
          <w:rFonts w:ascii="Calibri" w:eastAsia="Calibri" w:hAnsi="Calibri" w:cs="Calibri"/>
          <w:b/>
        </w:rPr>
      </w:pPr>
      <w:r>
        <w:rPr>
          <w:rFonts w:ascii="Calibri" w:eastAsia="Calibri" w:hAnsi="Calibri" w:cs="Calibri"/>
          <w:b/>
        </w:rPr>
        <w:t>Initial Costs</w:t>
      </w:r>
    </w:p>
    <w:p w14:paraId="04066A3A" w14:textId="7C2369A9" w:rsidR="008C2371" w:rsidRDefault="00AF53B1">
      <w:pPr>
        <w:spacing w:line="276" w:lineRule="auto"/>
        <w:rPr>
          <w:rFonts w:ascii="Calibri" w:eastAsia="Calibri" w:hAnsi="Calibri" w:cs="Calibri"/>
        </w:rPr>
      </w:pPr>
      <w:r>
        <w:rPr>
          <w:rFonts w:ascii="Calibri" w:eastAsia="Calibri" w:hAnsi="Calibri" w:cs="Calibri"/>
        </w:rPr>
        <w:t xml:space="preserve">The following initial charges will apply to your investment of </w:t>
      </w:r>
      <w:r>
        <w:rPr>
          <w:rFonts w:ascii="Calibri" w:eastAsia="Calibri" w:hAnsi="Calibri" w:cs="Calibri"/>
          <w:color w:val="FF0000"/>
        </w:rPr>
        <w:t>£50,000</w:t>
      </w:r>
      <w:r>
        <w:rPr>
          <w:rFonts w:ascii="Calibri" w:eastAsia="Calibri" w:hAnsi="Calibri" w:cs="Calibri"/>
        </w:rPr>
        <w:t xml:space="preserve">.  Our fee is taken from this amount first and the Octopus’s Initial and Dealing fees are taken from the resulting net investment amounts.  </w:t>
      </w:r>
    </w:p>
    <w:p w14:paraId="7599821C" w14:textId="77777777" w:rsidR="005F485B" w:rsidRDefault="005F485B">
      <w:pPr>
        <w:spacing w:line="276" w:lineRule="auto"/>
        <w:rPr>
          <w:rFonts w:ascii="Calibri" w:eastAsia="Calibri" w:hAnsi="Calibri" w:cs="Calibri"/>
          <w:b/>
        </w:rPr>
      </w:pPr>
    </w:p>
    <w:tbl>
      <w:tblPr>
        <w:tblStyle w:val="a0"/>
        <w:tblW w:w="9016" w:type="dxa"/>
        <w:tblBorders>
          <w:top w:val="single" w:sz="4" w:space="0" w:color="7EB2E6"/>
          <w:left w:val="single" w:sz="4" w:space="0" w:color="7EB2E6"/>
          <w:bottom w:val="single" w:sz="4" w:space="0" w:color="7EB2E6"/>
          <w:right w:val="single" w:sz="4" w:space="0" w:color="7EB2E6"/>
          <w:insideH w:val="single" w:sz="4" w:space="0" w:color="7EB2E6"/>
          <w:insideV w:val="single" w:sz="4" w:space="0" w:color="7EB2E6"/>
        </w:tblBorders>
        <w:tblLayout w:type="fixed"/>
        <w:tblLook w:val="06E0" w:firstRow="1" w:lastRow="1" w:firstColumn="1" w:lastColumn="0" w:noHBand="1" w:noVBand="1"/>
      </w:tblPr>
      <w:tblGrid>
        <w:gridCol w:w="3433"/>
        <w:gridCol w:w="1708"/>
        <w:gridCol w:w="1688"/>
        <w:gridCol w:w="2187"/>
      </w:tblGrid>
      <w:tr w:rsidR="008C2371" w14:paraId="5BAFD341" w14:textId="77777777" w:rsidTr="004C1275">
        <w:trPr>
          <w:cnfStyle w:val="100000000000" w:firstRow="1" w:lastRow="0" w:firstColumn="0" w:lastColumn="0" w:oddVBand="0" w:evenVBand="0" w:oddHBand="0"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3433" w:type="dxa"/>
            <w:tcBorders>
              <w:bottom w:val="single" w:sz="4" w:space="0" w:color="7EB2E6"/>
            </w:tcBorders>
          </w:tcPr>
          <w:p w14:paraId="0525D46B" w14:textId="77777777" w:rsidR="008C2371" w:rsidRDefault="008C2371">
            <w:pPr>
              <w:spacing w:line="276" w:lineRule="auto"/>
            </w:pPr>
          </w:p>
        </w:tc>
        <w:tc>
          <w:tcPr>
            <w:tcW w:w="5583" w:type="dxa"/>
            <w:gridSpan w:val="3"/>
            <w:tcBorders>
              <w:bottom w:val="single" w:sz="4" w:space="0" w:color="7EB2E6"/>
            </w:tcBorders>
          </w:tcPr>
          <w:p w14:paraId="1752B9D5" w14:textId="77777777" w:rsidR="008C2371" w:rsidRDefault="00AF53B1">
            <w:pPr>
              <w:spacing w:line="276" w:lineRule="auto"/>
              <w:jc w:val="center"/>
              <w:cnfStyle w:val="100000000000" w:firstRow="1" w:lastRow="0" w:firstColumn="0" w:lastColumn="0" w:oddVBand="0" w:evenVBand="0" w:oddHBand="0" w:evenHBand="0" w:firstRowFirstColumn="0" w:firstRowLastColumn="0" w:lastRowFirstColumn="0" w:lastRowLastColumn="0"/>
            </w:pPr>
            <w:r>
              <w:t>Initial Fee</w:t>
            </w:r>
          </w:p>
        </w:tc>
      </w:tr>
      <w:tr w:rsidR="00EF0AB6" w14:paraId="3004241D" w14:textId="77777777" w:rsidTr="004C1275">
        <w:trPr>
          <w:trHeight w:val="306"/>
        </w:trPr>
        <w:tc>
          <w:tcPr>
            <w:cnfStyle w:val="001000000000" w:firstRow="0" w:lastRow="0" w:firstColumn="1" w:lastColumn="0" w:oddVBand="0" w:evenVBand="0" w:oddHBand="0" w:evenHBand="0" w:firstRowFirstColumn="0" w:firstRowLastColumn="0" w:lastRowFirstColumn="0" w:lastRowLastColumn="0"/>
            <w:tcW w:w="3433" w:type="dxa"/>
            <w:shd w:val="clear" w:color="auto" w:fill="auto"/>
          </w:tcPr>
          <w:p w14:paraId="299BDB94" w14:textId="77777777" w:rsidR="00EF0AB6" w:rsidRDefault="00EF0AB6">
            <w:pPr>
              <w:spacing w:line="276" w:lineRule="auto"/>
            </w:pPr>
          </w:p>
        </w:tc>
        <w:tc>
          <w:tcPr>
            <w:tcW w:w="1708" w:type="dxa"/>
            <w:shd w:val="clear" w:color="auto" w:fill="auto"/>
          </w:tcPr>
          <w:p w14:paraId="5B4372F0" w14:textId="28C854CC" w:rsidR="00EF0AB6" w:rsidRDefault="00EF0AB6">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1688" w:type="dxa"/>
            <w:shd w:val="clear" w:color="auto" w:fill="auto"/>
          </w:tcPr>
          <w:p w14:paraId="459D478A" w14:textId="77777777" w:rsidR="00EF0AB6" w:rsidRDefault="00EF0AB6">
            <w:pPr>
              <w:spacing w:line="276" w:lineRule="auto"/>
              <w:jc w:val="center"/>
              <w:cnfStyle w:val="000000000000" w:firstRow="0" w:lastRow="0" w:firstColumn="0" w:lastColumn="0" w:oddVBand="0" w:evenVBand="0" w:oddHBand="0" w:evenHBand="0" w:firstRowFirstColumn="0" w:firstRowLastColumn="0" w:lastRowFirstColumn="0" w:lastRowLastColumn="0"/>
              <w:rPr>
                <w:b/>
              </w:rPr>
            </w:pPr>
          </w:p>
        </w:tc>
        <w:tc>
          <w:tcPr>
            <w:tcW w:w="2187" w:type="dxa"/>
            <w:shd w:val="clear" w:color="auto" w:fill="auto"/>
          </w:tcPr>
          <w:p w14:paraId="3DCE579E" w14:textId="2869D3ED" w:rsidR="00EF0AB6" w:rsidRDefault="00EF0AB6">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Pr>
                <w:b/>
              </w:rPr>
              <w:t>£</w:t>
            </w:r>
          </w:p>
        </w:tc>
      </w:tr>
      <w:tr w:rsidR="00EF0AB6" w14:paraId="2EC6FC24" w14:textId="77777777" w:rsidTr="004C1275">
        <w:trPr>
          <w:trHeight w:val="306"/>
        </w:trPr>
        <w:tc>
          <w:tcPr>
            <w:cnfStyle w:val="001000000000" w:firstRow="0" w:lastRow="0" w:firstColumn="1" w:lastColumn="0" w:oddVBand="0" w:evenVBand="0" w:oddHBand="0" w:evenHBand="0" w:firstRowFirstColumn="0" w:firstRowLastColumn="0" w:lastRowFirstColumn="0" w:lastRowLastColumn="0"/>
            <w:tcW w:w="3433" w:type="dxa"/>
            <w:shd w:val="clear" w:color="auto" w:fill="auto"/>
          </w:tcPr>
          <w:p w14:paraId="29EA2C9A" w14:textId="0E5CFB5F" w:rsidR="00EF0AB6" w:rsidRPr="00EF0AB6" w:rsidRDefault="00EF0AB6" w:rsidP="00EF0AB6">
            <w:pPr>
              <w:spacing w:line="276" w:lineRule="auto"/>
              <w:rPr>
                <w:b w:val="0"/>
                <w:bCs/>
              </w:rPr>
            </w:pPr>
            <w:r>
              <w:rPr>
                <w:b w:val="0"/>
                <w:color w:val="FF0000"/>
              </w:rPr>
              <w:t>Initial Adviser Fee</w:t>
            </w:r>
          </w:p>
        </w:tc>
        <w:tc>
          <w:tcPr>
            <w:tcW w:w="1708" w:type="dxa"/>
            <w:shd w:val="clear" w:color="auto" w:fill="auto"/>
          </w:tcPr>
          <w:p w14:paraId="17BDCF0A" w14:textId="1C18EC7F" w:rsidR="00EF0AB6" w:rsidRPr="00EF0AB6" w:rsidRDefault="00EF0AB6" w:rsidP="00EF0AB6">
            <w:pPr>
              <w:spacing w:line="276" w:lineRule="auto"/>
              <w:jc w:val="center"/>
              <w:cnfStyle w:val="000000000000" w:firstRow="0" w:lastRow="0" w:firstColumn="0" w:lastColumn="0" w:oddVBand="0" w:evenVBand="0" w:oddHBand="0" w:evenHBand="0" w:firstRowFirstColumn="0" w:firstRowLastColumn="0" w:lastRowFirstColumn="0" w:lastRowLastColumn="0"/>
              <w:rPr>
                <w:bCs/>
              </w:rPr>
            </w:pPr>
            <w:r w:rsidRPr="00EF0AB6">
              <w:rPr>
                <w:bCs/>
                <w:color w:val="FF0000"/>
              </w:rPr>
              <w:t>2.50%</w:t>
            </w:r>
          </w:p>
        </w:tc>
        <w:tc>
          <w:tcPr>
            <w:tcW w:w="1688" w:type="dxa"/>
            <w:shd w:val="clear" w:color="auto" w:fill="auto"/>
          </w:tcPr>
          <w:p w14:paraId="67BC63DC" w14:textId="7949A9A5" w:rsidR="00EF0AB6" w:rsidRPr="00EF0AB6" w:rsidRDefault="00EF0AB6" w:rsidP="00EF0AB6">
            <w:pPr>
              <w:spacing w:line="276" w:lineRule="auto"/>
              <w:jc w:val="center"/>
              <w:cnfStyle w:val="000000000000" w:firstRow="0" w:lastRow="0" w:firstColumn="0" w:lastColumn="0" w:oddVBand="0" w:evenVBand="0" w:oddHBand="0" w:evenHBand="0" w:firstRowFirstColumn="0" w:firstRowLastColumn="0" w:lastRowFirstColumn="0" w:lastRowLastColumn="0"/>
              <w:rPr>
                <w:bCs/>
                <w:color w:val="FF0000"/>
              </w:rPr>
            </w:pPr>
            <w:r w:rsidRPr="00EF0AB6">
              <w:rPr>
                <w:bCs/>
                <w:color w:val="FF0000"/>
              </w:rPr>
              <w:t>on £50,000</w:t>
            </w:r>
          </w:p>
        </w:tc>
        <w:tc>
          <w:tcPr>
            <w:tcW w:w="2187" w:type="dxa"/>
            <w:shd w:val="clear" w:color="auto" w:fill="auto"/>
          </w:tcPr>
          <w:p w14:paraId="414FD5B9" w14:textId="46E3D255" w:rsidR="00EF0AB6" w:rsidRPr="00EF0AB6" w:rsidRDefault="00EF0AB6" w:rsidP="00EF0AB6">
            <w:pPr>
              <w:spacing w:line="276" w:lineRule="auto"/>
              <w:jc w:val="center"/>
              <w:cnfStyle w:val="000000000000" w:firstRow="0" w:lastRow="0" w:firstColumn="0" w:lastColumn="0" w:oddVBand="0" w:evenVBand="0" w:oddHBand="0" w:evenHBand="0" w:firstRowFirstColumn="0" w:firstRowLastColumn="0" w:lastRowFirstColumn="0" w:lastRowLastColumn="0"/>
              <w:rPr>
                <w:bCs/>
                <w:color w:val="FF0000"/>
              </w:rPr>
            </w:pPr>
            <w:r w:rsidRPr="00EF0AB6">
              <w:rPr>
                <w:bCs/>
                <w:color w:val="FF0000"/>
              </w:rPr>
              <w:t>£1,250.00</w:t>
            </w:r>
          </w:p>
        </w:tc>
      </w:tr>
      <w:tr w:rsidR="00EF0AB6" w14:paraId="3E10EE03" w14:textId="77777777" w:rsidTr="004C1275">
        <w:trPr>
          <w:trHeight w:val="306"/>
        </w:trPr>
        <w:tc>
          <w:tcPr>
            <w:cnfStyle w:val="001000000000" w:firstRow="0" w:lastRow="0" w:firstColumn="1" w:lastColumn="0" w:oddVBand="0" w:evenVBand="0" w:oddHBand="0" w:evenHBand="0" w:firstRowFirstColumn="0" w:firstRowLastColumn="0" w:lastRowFirstColumn="0" w:lastRowLastColumn="0"/>
            <w:tcW w:w="3433" w:type="dxa"/>
            <w:shd w:val="clear" w:color="auto" w:fill="auto"/>
          </w:tcPr>
          <w:p w14:paraId="22C3B411" w14:textId="20241387" w:rsidR="00EF0AB6" w:rsidRPr="00EF0AB6" w:rsidRDefault="00EF0AB6" w:rsidP="00EF0AB6">
            <w:pPr>
              <w:spacing w:line="276" w:lineRule="auto"/>
              <w:rPr>
                <w:b w:val="0"/>
                <w:bCs/>
              </w:rPr>
            </w:pPr>
            <w:r>
              <w:rPr>
                <w:b w:val="0"/>
              </w:rPr>
              <w:t xml:space="preserve">Octopus Initial Charge </w:t>
            </w:r>
          </w:p>
        </w:tc>
        <w:tc>
          <w:tcPr>
            <w:tcW w:w="1708" w:type="dxa"/>
            <w:shd w:val="clear" w:color="auto" w:fill="auto"/>
          </w:tcPr>
          <w:p w14:paraId="48DFB27D" w14:textId="46019A28" w:rsidR="00EF0AB6" w:rsidRPr="00EF0AB6" w:rsidRDefault="00EF0AB6" w:rsidP="00EF0AB6">
            <w:pPr>
              <w:spacing w:line="276" w:lineRule="auto"/>
              <w:jc w:val="center"/>
              <w:cnfStyle w:val="000000000000" w:firstRow="0" w:lastRow="0" w:firstColumn="0" w:lastColumn="0" w:oddVBand="0" w:evenVBand="0" w:oddHBand="0" w:evenHBand="0" w:firstRowFirstColumn="0" w:firstRowLastColumn="0" w:lastRowFirstColumn="0" w:lastRowLastColumn="0"/>
              <w:rPr>
                <w:bCs/>
              </w:rPr>
            </w:pPr>
            <w:r w:rsidRPr="00EF0AB6">
              <w:rPr>
                <w:bCs/>
              </w:rPr>
              <w:t>2.00%</w:t>
            </w:r>
          </w:p>
        </w:tc>
        <w:tc>
          <w:tcPr>
            <w:tcW w:w="1688" w:type="dxa"/>
            <w:shd w:val="clear" w:color="auto" w:fill="auto"/>
          </w:tcPr>
          <w:p w14:paraId="48CF35BC" w14:textId="7656AD32" w:rsidR="00EF0AB6" w:rsidRPr="00EF0AB6" w:rsidRDefault="00EF0AB6" w:rsidP="00EF0AB6">
            <w:pPr>
              <w:spacing w:line="276" w:lineRule="auto"/>
              <w:jc w:val="center"/>
              <w:cnfStyle w:val="000000000000" w:firstRow="0" w:lastRow="0" w:firstColumn="0" w:lastColumn="0" w:oddVBand="0" w:evenVBand="0" w:oddHBand="0" w:evenHBand="0" w:firstRowFirstColumn="0" w:firstRowLastColumn="0" w:lastRowFirstColumn="0" w:lastRowLastColumn="0"/>
              <w:rPr>
                <w:bCs/>
                <w:color w:val="FF0000"/>
              </w:rPr>
            </w:pPr>
            <w:r w:rsidRPr="00EF0AB6">
              <w:rPr>
                <w:bCs/>
                <w:color w:val="FF0000"/>
              </w:rPr>
              <w:t>On remaining £48,750</w:t>
            </w:r>
          </w:p>
        </w:tc>
        <w:tc>
          <w:tcPr>
            <w:tcW w:w="2187" w:type="dxa"/>
            <w:shd w:val="clear" w:color="auto" w:fill="auto"/>
          </w:tcPr>
          <w:p w14:paraId="504D3C58" w14:textId="22D7B65B" w:rsidR="00EF0AB6" w:rsidRPr="00EF0AB6" w:rsidRDefault="00EF0AB6" w:rsidP="00EF0AB6">
            <w:pPr>
              <w:spacing w:line="276" w:lineRule="auto"/>
              <w:jc w:val="center"/>
              <w:cnfStyle w:val="000000000000" w:firstRow="0" w:lastRow="0" w:firstColumn="0" w:lastColumn="0" w:oddVBand="0" w:evenVBand="0" w:oddHBand="0" w:evenHBand="0" w:firstRowFirstColumn="0" w:firstRowLastColumn="0" w:lastRowFirstColumn="0" w:lastRowLastColumn="0"/>
              <w:rPr>
                <w:bCs/>
                <w:color w:val="FF0000"/>
              </w:rPr>
            </w:pPr>
            <w:r w:rsidRPr="00EF0AB6">
              <w:rPr>
                <w:bCs/>
                <w:color w:val="FF0000"/>
              </w:rPr>
              <w:t>£975.00</w:t>
            </w:r>
          </w:p>
        </w:tc>
      </w:tr>
      <w:tr w:rsidR="00EF0AB6" w14:paraId="6AAE546B" w14:textId="77777777" w:rsidTr="004C1275">
        <w:trPr>
          <w:trHeight w:val="306"/>
        </w:trPr>
        <w:tc>
          <w:tcPr>
            <w:cnfStyle w:val="001000000000" w:firstRow="0" w:lastRow="0" w:firstColumn="1" w:lastColumn="0" w:oddVBand="0" w:evenVBand="0" w:oddHBand="0" w:evenHBand="0" w:firstRowFirstColumn="0" w:firstRowLastColumn="0" w:lastRowFirstColumn="0" w:lastRowLastColumn="0"/>
            <w:tcW w:w="3433" w:type="dxa"/>
            <w:shd w:val="clear" w:color="auto" w:fill="auto"/>
          </w:tcPr>
          <w:p w14:paraId="2A87AE1A" w14:textId="230DD55F" w:rsidR="00EF0AB6" w:rsidRPr="00EF0AB6" w:rsidRDefault="00EF0AB6" w:rsidP="00EF0AB6">
            <w:pPr>
              <w:spacing w:line="276" w:lineRule="auto"/>
              <w:rPr>
                <w:b w:val="0"/>
                <w:bCs/>
              </w:rPr>
            </w:pPr>
            <w:r>
              <w:rPr>
                <w:b w:val="0"/>
              </w:rPr>
              <w:t xml:space="preserve">Portfolio Dealing Fee </w:t>
            </w:r>
          </w:p>
        </w:tc>
        <w:tc>
          <w:tcPr>
            <w:tcW w:w="1708" w:type="dxa"/>
            <w:shd w:val="clear" w:color="auto" w:fill="auto"/>
          </w:tcPr>
          <w:p w14:paraId="322EDA16" w14:textId="32FDAB8F" w:rsidR="00EF0AB6" w:rsidRPr="00EF0AB6" w:rsidRDefault="00EF0AB6" w:rsidP="00EF0AB6">
            <w:pPr>
              <w:spacing w:line="276" w:lineRule="auto"/>
              <w:jc w:val="center"/>
              <w:cnfStyle w:val="000000000000" w:firstRow="0" w:lastRow="0" w:firstColumn="0" w:lastColumn="0" w:oddVBand="0" w:evenVBand="0" w:oddHBand="0" w:evenHBand="0" w:firstRowFirstColumn="0" w:firstRowLastColumn="0" w:lastRowFirstColumn="0" w:lastRowLastColumn="0"/>
              <w:rPr>
                <w:bCs/>
              </w:rPr>
            </w:pPr>
            <w:r w:rsidRPr="00EF0AB6">
              <w:rPr>
                <w:bCs/>
              </w:rPr>
              <w:t>1.00%</w:t>
            </w:r>
          </w:p>
        </w:tc>
        <w:tc>
          <w:tcPr>
            <w:tcW w:w="1688" w:type="dxa"/>
            <w:shd w:val="clear" w:color="auto" w:fill="auto"/>
          </w:tcPr>
          <w:p w14:paraId="4A715223" w14:textId="5C7E4CD6" w:rsidR="00EF0AB6" w:rsidRPr="00EF0AB6" w:rsidRDefault="00EF0AB6" w:rsidP="00EF0AB6">
            <w:pPr>
              <w:spacing w:line="276" w:lineRule="auto"/>
              <w:jc w:val="center"/>
              <w:cnfStyle w:val="000000000000" w:firstRow="0" w:lastRow="0" w:firstColumn="0" w:lastColumn="0" w:oddVBand="0" w:evenVBand="0" w:oddHBand="0" w:evenHBand="0" w:firstRowFirstColumn="0" w:firstRowLastColumn="0" w:lastRowFirstColumn="0" w:lastRowLastColumn="0"/>
              <w:rPr>
                <w:bCs/>
                <w:color w:val="FF0000"/>
              </w:rPr>
            </w:pPr>
            <w:r w:rsidRPr="00EF0AB6">
              <w:rPr>
                <w:bCs/>
                <w:color w:val="FF0000"/>
              </w:rPr>
              <w:t>On remaining £47,775</w:t>
            </w:r>
          </w:p>
        </w:tc>
        <w:tc>
          <w:tcPr>
            <w:tcW w:w="2187" w:type="dxa"/>
            <w:shd w:val="clear" w:color="auto" w:fill="auto"/>
          </w:tcPr>
          <w:p w14:paraId="7868E1E0" w14:textId="270E0BD0" w:rsidR="00EF0AB6" w:rsidRPr="00EF0AB6" w:rsidRDefault="00EF0AB6" w:rsidP="00EF0AB6">
            <w:pPr>
              <w:spacing w:line="276" w:lineRule="auto"/>
              <w:jc w:val="center"/>
              <w:cnfStyle w:val="000000000000" w:firstRow="0" w:lastRow="0" w:firstColumn="0" w:lastColumn="0" w:oddVBand="0" w:evenVBand="0" w:oddHBand="0" w:evenHBand="0" w:firstRowFirstColumn="0" w:firstRowLastColumn="0" w:lastRowFirstColumn="0" w:lastRowLastColumn="0"/>
              <w:rPr>
                <w:bCs/>
                <w:color w:val="FF0000"/>
              </w:rPr>
            </w:pPr>
            <w:r w:rsidRPr="00EF0AB6">
              <w:rPr>
                <w:bCs/>
                <w:color w:val="FF0000"/>
              </w:rPr>
              <w:t>£477.75</w:t>
            </w:r>
          </w:p>
        </w:tc>
      </w:tr>
      <w:tr w:rsidR="00EF0AB6" w14:paraId="34D09E18" w14:textId="77777777" w:rsidTr="004C1275">
        <w:trPr>
          <w:cnfStyle w:val="010000000000" w:firstRow="0" w:lastRow="1"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433" w:type="dxa"/>
            <w:shd w:val="clear" w:color="auto" w:fill="auto"/>
          </w:tcPr>
          <w:p w14:paraId="3CE98B6D" w14:textId="0C329362" w:rsidR="00EF0AB6" w:rsidRDefault="00EF0AB6" w:rsidP="00EF0AB6">
            <w:pPr>
              <w:spacing w:line="276" w:lineRule="auto"/>
            </w:pPr>
            <w:r>
              <w:t>Total Initial Fee</w:t>
            </w:r>
          </w:p>
        </w:tc>
        <w:tc>
          <w:tcPr>
            <w:tcW w:w="1708" w:type="dxa"/>
            <w:shd w:val="clear" w:color="auto" w:fill="auto"/>
          </w:tcPr>
          <w:p w14:paraId="6696A66B" w14:textId="2541777E" w:rsidR="00EF0AB6" w:rsidRPr="00EF0AB6" w:rsidRDefault="00EF0AB6" w:rsidP="00EF0AB6">
            <w:pPr>
              <w:spacing w:line="276" w:lineRule="auto"/>
              <w:jc w:val="center"/>
              <w:cnfStyle w:val="010000000000" w:firstRow="0" w:lastRow="1" w:firstColumn="0" w:lastColumn="0" w:oddVBand="0" w:evenVBand="0" w:oddHBand="0" w:evenHBand="0" w:firstRowFirstColumn="0" w:firstRowLastColumn="0" w:lastRowFirstColumn="0" w:lastRowLastColumn="0"/>
              <w:rPr>
                <w:bCs/>
                <w:color w:val="FF0000"/>
              </w:rPr>
            </w:pPr>
            <w:r w:rsidRPr="00EF0AB6">
              <w:rPr>
                <w:bCs/>
                <w:color w:val="FF0000"/>
              </w:rPr>
              <w:t>5.41%</w:t>
            </w:r>
          </w:p>
        </w:tc>
        <w:tc>
          <w:tcPr>
            <w:tcW w:w="1688" w:type="dxa"/>
            <w:shd w:val="clear" w:color="auto" w:fill="auto"/>
          </w:tcPr>
          <w:p w14:paraId="3C7B3E33" w14:textId="77777777" w:rsidR="00EF0AB6" w:rsidRPr="00EF0AB6" w:rsidRDefault="00EF0AB6" w:rsidP="00EF0AB6">
            <w:pPr>
              <w:spacing w:line="276" w:lineRule="auto"/>
              <w:jc w:val="center"/>
              <w:cnfStyle w:val="010000000000" w:firstRow="0" w:lastRow="1" w:firstColumn="0" w:lastColumn="0" w:oddVBand="0" w:evenVBand="0" w:oddHBand="0" w:evenHBand="0" w:firstRowFirstColumn="0" w:firstRowLastColumn="0" w:lastRowFirstColumn="0" w:lastRowLastColumn="0"/>
              <w:rPr>
                <w:bCs/>
                <w:color w:val="FF0000"/>
              </w:rPr>
            </w:pPr>
          </w:p>
        </w:tc>
        <w:tc>
          <w:tcPr>
            <w:tcW w:w="2187" w:type="dxa"/>
            <w:shd w:val="clear" w:color="auto" w:fill="auto"/>
          </w:tcPr>
          <w:p w14:paraId="5F0DF082" w14:textId="177CC618" w:rsidR="00EF0AB6" w:rsidRPr="00EF0AB6" w:rsidRDefault="00EF0AB6" w:rsidP="00EF0AB6">
            <w:pPr>
              <w:spacing w:line="276" w:lineRule="auto"/>
              <w:jc w:val="center"/>
              <w:cnfStyle w:val="010000000000" w:firstRow="0" w:lastRow="1" w:firstColumn="0" w:lastColumn="0" w:oddVBand="0" w:evenVBand="0" w:oddHBand="0" w:evenHBand="0" w:firstRowFirstColumn="0" w:firstRowLastColumn="0" w:lastRowFirstColumn="0" w:lastRowLastColumn="0"/>
              <w:rPr>
                <w:bCs/>
                <w:color w:val="FF0000"/>
              </w:rPr>
            </w:pPr>
            <w:r w:rsidRPr="00EF0AB6">
              <w:rPr>
                <w:bCs/>
                <w:color w:val="FF0000"/>
              </w:rPr>
              <w:t>£2,702.75</w:t>
            </w:r>
          </w:p>
        </w:tc>
      </w:tr>
    </w:tbl>
    <w:p w14:paraId="68D1CC0C" w14:textId="77777777" w:rsidR="008C2371" w:rsidRDefault="008C2371">
      <w:pPr>
        <w:spacing w:line="276" w:lineRule="auto"/>
        <w:rPr>
          <w:rFonts w:ascii="Calibri" w:eastAsia="Calibri" w:hAnsi="Calibri" w:cs="Calibri"/>
          <w:b/>
        </w:rPr>
      </w:pPr>
    </w:p>
    <w:p w14:paraId="2CAB8157" w14:textId="52121494" w:rsidR="00B53555" w:rsidRDefault="00B53555">
      <w:pPr>
        <w:spacing w:line="276" w:lineRule="auto"/>
        <w:rPr>
          <w:rFonts w:ascii="Calibri" w:eastAsia="Calibri" w:hAnsi="Calibri" w:cs="Calibri"/>
          <w:b/>
        </w:rPr>
      </w:pPr>
    </w:p>
    <w:p w14:paraId="1AAC575F" w14:textId="60A096AD" w:rsidR="00B53555" w:rsidRDefault="00B53555">
      <w:pPr>
        <w:spacing w:line="276" w:lineRule="auto"/>
        <w:rPr>
          <w:rFonts w:ascii="Calibri" w:eastAsia="Calibri" w:hAnsi="Calibri" w:cs="Calibri"/>
          <w:b/>
        </w:rPr>
      </w:pPr>
    </w:p>
    <w:p w14:paraId="0BC14969" w14:textId="77777777" w:rsidR="00B53555" w:rsidRDefault="00B53555">
      <w:pPr>
        <w:spacing w:line="276" w:lineRule="auto"/>
        <w:rPr>
          <w:rFonts w:ascii="Calibri" w:eastAsia="Calibri" w:hAnsi="Calibri" w:cs="Calibri"/>
          <w:b/>
        </w:rPr>
      </w:pPr>
    </w:p>
    <w:p w14:paraId="538DE6C4" w14:textId="34F81788" w:rsidR="008C2371" w:rsidRDefault="00AF53B1">
      <w:pPr>
        <w:spacing w:line="276" w:lineRule="auto"/>
        <w:rPr>
          <w:rFonts w:ascii="Calibri" w:eastAsia="Calibri" w:hAnsi="Calibri" w:cs="Calibri"/>
          <w:b/>
        </w:rPr>
      </w:pPr>
      <w:r>
        <w:rPr>
          <w:rFonts w:ascii="Calibri" w:eastAsia="Calibri" w:hAnsi="Calibri" w:cs="Calibri"/>
          <w:b/>
        </w:rPr>
        <w:t>On-going</w:t>
      </w:r>
      <w:r w:rsidR="00EF0AB6">
        <w:rPr>
          <w:rFonts w:ascii="Calibri" w:eastAsia="Calibri" w:hAnsi="Calibri" w:cs="Calibri"/>
          <w:b/>
        </w:rPr>
        <w:t xml:space="preserve"> (Annual)</w:t>
      </w:r>
      <w:r>
        <w:rPr>
          <w:rFonts w:ascii="Calibri" w:eastAsia="Calibri" w:hAnsi="Calibri" w:cs="Calibri"/>
          <w:b/>
        </w:rPr>
        <w:t xml:space="preserve"> Costs</w:t>
      </w:r>
    </w:p>
    <w:p w14:paraId="353B00DC" w14:textId="6E718BB5" w:rsidR="008C2371" w:rsidRDefault="00AF53B1">
      <w:pPr>
        <w:spacing w:line="276" w:lineRule="auto"/>
        <w:rPr>
          <w:rFonts w:ascii="Calibri" w:eastAsia="Calibri" w:hAnsi="Calibri" w:cs="Calibri"/>
          <w:color w:val="7030A0"/>
        </w:rPr>
      </w:pPr>
      <w:r>
        <w:rPr>
          <w:rFonts w:ascii="Calibri" w:eastAsia="Calibri" w:hAnsi="Calibri" w:cs="Calibri"/>
        </w:rPr>
        <w:t xml:space="preserve">On-going costs are based on the net initial investment of </w:t>
      </w:r>
      <w:r>
        <w:rPr>
          <w:rFonts w:ascii="Calibri" w:eastAsia="Calibri" w:hAnsi="Calibri" w:cs="Calibri"/>
          <w:color w:val="FF0000"/>
        </w:rPr>
        <w:t>£47,297.25</w:t>
      </w:r>
      <w:r>
        <w:rPr>
          <w:rFonts w:ascii="Calibri" w:eastAsia="Calibri" w:hAnsi="Calibri" w:cs="Calibri"/>
        </w:rPr>
        <w:t xml:space="preserve"> – this is the amount that</w:t>
      </w:r>
      <w:r w:rsidR="00EF0AB6">
        <w:rPr>
          <w:rFonts w:ascii="Calibri" w:eastAsia="Calibri" w:hAnsi="Calibri" w:cs="Calibri"/>
        </w:rPr>
        <w:t xml:space="preserve"> will</w:t>
      </w:r>
      <w:r>
        <w:rPr>
          <w:rFonts w:ascii="Calibri" w:eastAsia="Calibri" w:hAnsi="Calibri" w:cs="Calibri"/>
        </w:rPr>
        <w:t xml:space="preserve"> be used to purchase shares in Octopus ITS.</w:t>
      </w:r>
    </w:p>
    <w:p w14:paraId="339CBDFB" w14:textId="77777777" w:rsidR="008C2371" w:rsidRDefault="008C2371">
      <w:pPr>
        <w:spacing w:line="276" w:lineRule="auto"/>
        <w:rPr>
          <w:rFonts w:ascii="Calibri" w:eastAsia="Calibri" w:hAnsi="Calibri" w:cs="Calibri"/>
          <w:b/>
        </w:rPr>
      </w:pPr>
    </w:p>
    <w:tbl>
      <w:tblPr>
        <w:tblStyle w:val="a1"/>
        <w:tblW w:w="8743" w:type="dxa"/>
        <w:jc w:val="center"/>
        <w:tblBorders>
          <w:top w:val="single" w:sz="4" w:space="0" w:color="7EB2E6"/>
          <w:left w:val="single" w:sz="4" w:space="0" w:color="7EB2E6"/>
          <w:bottom w:val="single" w:sz="4" w:space="0" w:color="7EB2E6"/>
          <w:right w:val="single" w:sz="4" w:space="0" w:color="7EB2E6"/>
          <w:insideH w:val="single" w:sz="4" w:space="0" w:color="7EB2E6"/>
          <w:insideV w:val="single" w:sz="4" w:space="0" w:color="7EB2E6"/>
        </w:tblBorders>
        <w:tblLayout w:type="fixed"/>
        <w:tblLook w:val="06E0" w:firstRow="1" w:lastRow="1" w:firstColumn="1" w:lastColumn="0" w:noHBand="1" w:noVBand="1"/>
      </w:tblPr>
      <w:tblGrid>
        <w:gridCol w:w="4299"/>
        <w:gridCol w:w="2237"/>
        <w:gridCol w:w="2207"/>
      </w:tblGrid>
      <w:tr w:rsidR="008C2371" w14:paraId="7D23F6E0" w14:textId="77777777" w:rsidTr="004C1275">
        <w:trPr>
          <w:cnfStyle w:val="100000000000" w:firstRow="1" w:lastRow="0" w:firstColumn="0" w:lastColumn="0" w:oddVBand="0" w:evenVBand="0" w:oddHBand="0" w:evenHBand="0" w:firstRowFirstColumn="0" w:firstRowLastColumn="0" w:lastRowFirstColumn="0" w:lastRowLastColumn="0"/>
          <w:trHeight w:val="59"/>
          <w:jc w:val="center"/>
        </w:trPr>
        <w:tc>
          <w:tcPr>
            <w:cnfStyle w:val="001000000000" w:firstRow="0" w:lastRow="0" w:firstColumn="1" w:lastColumn="0" w:oddVBand="0" w:evenVBand="0" w:oddHBand="0" w:evenHBand="0" w:firstRowFirstColumn="0" w:firstRowLastColumn="0" w:lastRowFirstColumn="0" w:lastRowLastColumn="0"/>
            <w:tcW w:w="4299" w:type="dxa"/>
            <w:tcBorders>
              <w:bottom w:val="single" w:sz="4" w:space="0" w:color="7EB2E6"/>
            </w:tcBorders>
          </w:tcPr>
          <w:p w14:paraId="1F3119A8" w14:textId="77777777" w:rsidR="008C2371" w:rsidRDefault="008C2371">
            <w:pPr>
              <w:spacing w:line="276" w:lineRule="auto"/>
            </w:pPr>
          </w:p>
        </w:tc>
        <w:tc>
          <w:tcPr>
            <w:tcW w:w="4444" w:type="dxa"/>
            <w:gridSpan w:val="2"/>
            <w:tcBorders>
              <w:bottom w:val="single" w:sz="4" w:space="0" w:color="7EB2E6"/>
            </w:tcBorders>
          </w:tcPr>
          <w:p w14:paraId="39B202D8" w14:textId="77777777" w:rsidR="008C2371" w:rsidRDefault="00AF53B1">
            <w:pPr>
              <w:spacing w:line="276" w:lineRule="auto"/>
              <w:jc w:val="center"/>
              <w:cnfStyle w:val="100000000000" w:firstRow="1" w:lastRow="0" w:firstColumn="0" w:lastColumn="0" w:oddVBand="0" w:evenVBand="0" w:oddHBand="0" w:evenHBand="0" w:firstRowFirstColumn="0" w:firstRowLastColumn="0" w:lastRowFirstColumn="0" w:lastRowLastColumn="0"/>
            </w:pPr>
            <w:r>
              <w:t>Annual Fee</w:t>
            </w:r>
          </w:p>
        </w:tc>
      </w:tr>
      <w:tr w:rsidR="008C2371" w14:paraId="1D24A599" w14:textId="77777777" w:rsidTr="004C1275">
        <w:trPr>
          <w:trHeight w:val="295"/>
          <w:jc w:val="center"/>
        </w:trPr>
        <w:tc>
          <w:tcPr>
            <w:cnfStyle w:val="001000000000" w:firstRow="0" w:lastRow="0" w:firstColumn="1" w:lastColumn="0" w:oddVBand="0" w:evenVBand="0" w:oddHBand="0" w:evenHBand="0" w:firstRowFirstColumn="0" w:firstRowLastColumn="0" w:lastRowFirstColumn="0" w:lastRowLastColumn="0"/>
            <w:tcW w:w="4299" w:type="dxa"/>
            <w:shd w:val="clear" w:color="auto" w:fill="auto"/>
          </w:tcPr>
          <w:p w14:paraId="67C2EA7B" w14:textId="77777777" w:rsidR="008C2371" w:rsidRDefault="008C2371">
            <w:pPr>
              <w:spacing w:line="276" w:lineRule="auto"/>
            </w:pPr>
          </w:p>
        </w:tc>
        <w:tc>
          <w:tcPr>
            <w:tcW w:w="2237" w:type="dxa"/>
            <w:shd w:val="clear" w:color="auto" w:fill="auto"/>
          </w:tcPr>
          <w:p w14:paraId="3BAA5B4F" w14:textId="77777777" w:rsidR="008C2371" w:rsidRDefault="00AF53B1">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2207" w:type="dxa"/>
            <w:shd w:val="clear" w:color="auto" w:fill="auto"/>
          </w:tcPr>
          <w:p w14:paraId="117DAB63" w14:textId="77777777" w:rsidR="008C2371" w:rsidRDefault="00AF53B1">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Pr>
                <w:b/>
              </w:rPr>
              <w:t>£</w:t>
            </w:r>
          </w:p>
        </w:tc>
      </w:tr>
      <w:tr w:rsidR="008C2371" w14:paraId="0DC751EF" w14:textId="77777777" w:rsidTr="004C1275">
        <w:trPr>
          <w:trHeight w:val="335"/>
          <w:jc w:val="center"/>
        </w:trPr>
        <w:tc>
          <w:tcPr>
            <w:cnfStyle w:val="001000000000" w:firstRow="0" w:lastRow="0" w:firstColumn="1" w:lastColumn="0" w:oddVBand="0" w:evenVBand="0" w:oddHBand="0" w:evenHBand="0" w:firstRowFirstColumn="0" w:firstRowLastColumn="0" w:lastRowFirstColumn="0" w:lastRowLastColumn="0"/>
            <w:tcW w:w="4299" w:type="dxa"/>
            <w:shd w:val="clear" w:color="auto" w:fill="auto"/>
          </w:tcPr>
          <w:p w14:paraId="21F18DA4" w14:textId="77777777" w:rsidR="008C2371" w:rsidRDefault="00AF53B1">
            <w:pPr>
              <w:spacing w:line="276" w:lineRule="auto"/>
            </w:pPr>
            <w:r>
              <w:rPr>
                <w:b w:val="0"/>
              </w:rPr>
              <w:t>Octopus Annual Management Fee</w:t>
            </w:r>
          </w:p>
        </w:tc>
        <w:tc>
          <w:tcPr>
            <w:tcW w:w="2237" w:type="dxa"/>
            <w:shd w:val="clear" w:color="auto" w:fill="auto"/>
          </w:tcPr>
          <w:p w14:paraId="4AD382C0" w14:textId="77777777" w:rsidR="008C2371" w:rsidRDefault="00AF53B1">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1.20% </w:t>
            </w:r>
            <w:r>
              <w:rPr>
                <w:b/>
                <w:vertAlign w:val="superscript"/>
              </w:rPr>
              <w:t>(1)</w:t>
            </w:r>
          </w:p>
        </w:tc>
        <w:tc>
          <w:tcPr>
            <w:tcW w:w="2207" w:type="dxa"/>
            <w:shd w:val="clear" w:color="auto" w:fill="auto"/>
          </w:tcPr>
          <w:p w14:paraId="2F4BE61A" w14:textId="77777777" w:rsidR="008C2371" w:rsidRDefault="00AF53B1">
            <w:pPr>
              <w:spacing w:line="276" w:lineRule="auto"/>
              <w:jc w:val="center"/>
              <w:cnfStyle w:val="000000000000" w:firstRow="0" w:lastRow="0" w:firstColumn="0" w:lastColumn="0" w:oddVBand="0" w:evenVBand="0" w:oddHBand="0" w:evenHBand="0" w:firstRowFirstColumn="0" w:firstRowLastColumn="0" w:lastRowFirstColumn="0" w:lastRowLastColumn="0"/>
              <w:rPr>
                <w:color w:val="7030A0"/>
              </w:rPr>
            </w:pPr>
            <w:r>
              <w:rPr>
                <w:color w:val="FF0000"/>
              </w:rPr>
              <w:t>£567.56</w:t>
            </w:r>
          </w:p>
        </w:tc>
      </w:tr>
      <w:tr w:rsidR="008C2371" w14:paraId="50B6EF2C" w14:textId="77777777" w:rsidTr="004C1275">
        <w:trPr>
          <w:trHeight w:val="385"/>
          <w:jc w:val="center"/>
        </w:trPr>
        <w:tc>
          <w:tcPr>
            <w:cnfStyle w:val="001000000000" w:firstRow="0" w:lastRow="0" w:firstColumn="1" w:lastColumn="0" w:oddVBand="0" w:evenVBand="0" w:oddHBand="0" w:evenHBand="0" w:firstRowFirstColumn="0" w:firstRowLastColumn="0" w:lastRowFirstColumn="0" w:lastRowLastColumn="0"/>
            <w:tcW w:w="4299" w:type="dxa"/>
            <w:shd w:val="clear" w:color="auto" w:fill="auto"/>
          </w:tcPr>
          <w:p w14:paraId="329EF32D" w14:textId="77777777" w:rsidR="008C2371" w:rsidRDefault="00AF53B1">
            <w:pPr>
              <w:spacing w:line="276" w:lineRule="auto"/>
              <w:rPr>
                <w:color w:val="FF0000"/>
              </w:rPr>
            </w:pPr>
            <w:r>
              <w:rPr>
                <w:b w:val="0"/>
                <w:color w:val="FF0000"/>
              </w:rPr>
              <w:t>On-going Adviser Fee</w:t>
            </w:r>
          </w:p>
        </w:tc>
        <w:tc>
          <w:tcPr>
            <w:tcW w:w="2237" w:type="dxa"/>
            <w:shd w:val="clear" w:color="auto" w:fill="auto"/>
          </w:tcPr>
          <w:p w14:paraId="16E3C56A" w14:textId="77777777" w:rsidR="008C2371" w:rsidRDefault="00AF53B1">
            <w:pPr>
              <w:spacing w:line="276" w:lineRule="auto"/>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0.50%</w:t>
            </w:r>
          </w:p>
        </w:tc>
        <w:tc>
          <w:tcPr>
            <w:tcW w:w="2207" w:type="dxa"/>
            <w:shd w:val="clear" w:color="auto" w:fill="auto"/>
          </w:tcPr>
          <w:p w14:paraId="3B193299" w14:textId="77777777" w:rsidR="008C2371" w:rsidRDefault="00AF53B1">
            <w:pPr>
              <w:spacing w:line="276" w:lineRule="auto"/>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£236.49</w:t>
            </w:r>
          </w:p>
        </w:tc>
      </w:tr>
      <w:tr w:rsidR="008C2371" w14:paraId="5D789ECC" w14:textId="77777777" w:rsidTr="004C1275">
        <w:trPr>
          <w:cnfStyle w:val="010000000000" w:firstRow="0" w:lastRow="1" w:firstColumn="0" w:lastColumn="0" w:oddVBand="0" w:evenVBand="0" w:oddHBand="0"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4299" w:type="dxa"/>
            <w:shd w:val="clear" w:color="auto" w:fill="auto"/>
          </w:tcPr>
          <w:p w14:paraId="150251CA" w14:textId="42A2AEBB" w:rsidR="008C2371" w:rsidRDefault="00AF53B1">
            <w:pPr>
              <w:spacing w:line="276" w:lineRule="auto"/>
            </w:pPr>
            <w:r>
              <w:t xml:space="preserve">Total </w:t>
            </w:r>
            <w:r w:rsidR="00EF0AB6">
              <w:t xml:space="preserve">Annual </w:t>
            </w:r>
            <w:r>
              <w:t>Fee</w:t>
            </w:r>
          </w:p>
        </w:tc>
        <w:tc>
          <w:tcPr>
            <w:tcW w:w="2237" w:type="dxa"/>
            <w:shd w:val="clear" w:color="auto" w:fill="auto"/>
          </w:tcPr>
          <w:p w14:paraId="15086DF4" w14:textId="77777777" w:rsidR="008C2371" w:rsidRDefault="00AF53B1">
            <w:pPr>
              <w:spacing w:line="276" w:lineRule="auto"/>
              <w:jc w:val="center"/>
              <w:cnfStyle w:val="010000000000" w:firstRow="0" w:lastRow="1" w:firstColumn="0" w:lastColumn="0" w:oddVBand="0" w:evenVBand="0" w:oddHBand="0" w:evenHBand="0" w:firstRowFirstColumn="0" w:firstRowLastColumn="0" w:lastRowFirstColumn="0" w:lastRowLastColumn="0"/>
              <w:rPr>
                <w:color w:val="FF0000"/>
              </w:rPr>
            </w:pPr>
            <w:r>
              <w:rPr>
                <w:color w:val="FF0000"/>
              </w:rPr>
              <w:t>1.70%</w:t>
            </w:r>
          </w:p>
        </w:tc>
        <w:tc>
          <w:tcPr>
            <w:tcW w:w="2207" w:type="dxa"/>
            <w:shd w:val="clear" w:color="auto" w:fill="auto"/>
          </w:tcPr>
          <w:p w14:paraId="7F6EEC9F" w14:textId="77777777" w:rsidR="008C2371" w:rsidRDefault="00AF53B1">
            <w:pPr>
              <w:spacing w:line="276" w:lineRule="auto"/>
              <w:jc w:val="center"/>
              <w:cnfStyle w:val="010000000000" w:firstRow="0" w:lastRow="1" w:firstColumn="0" w:lastColumn="0" w:oddVBand="0" w:evenVBand="0" w:oddHBand="0" w:evenHBand="0" w:firstRowFirstColumn="0" w:firstRowLastColumn="0" w:lastRowFirstColumn="0" w:lastRowLastColumn="0"/>
              <w:rPr>
                <w:color w:val="FF0000"/>
              </w:rPr>
            </w:pPr>
            <w:r>
              <w:rPr>
                <w:color w:val="FF0000"/>
              </w:rPr>
              <w:t>£804.05</w:t>
            </w:r>
          </w:p>
        </w:tc>
      </w:tr>
    </w:tbl>
    <w:p w14:paraId="7770EEDE" w14:textId="77777777" w:rsidR="008C2371" w:rsidRDefault="008C2371">
      <w:pPr>
        <w:spacing w:line="276" w:lineRule="auto"/>
        <w:jc w:val="both"/>
        <w:rPr>
          <w:rFonts w:ascii="Calibri" w:eastAsia="Calibri" w:hAnsi="Calibri" w:cs="Calibri"/>
          <w:b/>
          <w:sz w:val="16"/>
          <w:szCs w:val="16"/>
        </w:rPr>
      </w:pPr>
    </w:p>
    <w:p w14:paraId="4288B708" w14:textId="61A5920F" w:rsidR="008C2371" w:rsidRDefault="00AF53B1" w:rsidP="00F55509">
      <w:pPr>
        <w:pStyle w:val="ListParagraph"/>
        <w:numPr>
          <w:ilvl w:val="0"/>
          <w:numId w:val="10"/>
        </w:numPr>
        <w:spacing w:line="276" w:lineRule="auto"/>
        <w:jc w:val="both"/>
        <w:rPr>
          <w:rFonts w:ascii="Calibri" w:eastAsia="Calibri" w:hAnsi="Calibri" w:cs="Calibri"/>
          <w:sz w:val="16"/>
          <w:szCs w:val="16"/>
        </w:rPr>
      </w:pPr>
      <w:r w:rsidRPr="00D968FE">
        <w:rPr>
          <w:rFonts w:ascii="Calibri" w:eastAsia="Calibri" w:hAnsi="Calibri" w:cs="Calibri"/>
          <w:sz w:val="16"/>
          <w:szCs w:val="16"/>
        </w:rPr>
        <w:t>The annual management fee is inclusive of 20% VAT. Actual payment of this is deferred until a withdrawal is made from the investment. In addition to this, the annual management fee will only be taken if Octopus Investments achieve returns more than their 3% per annum target.</w:t>
      </w:r>
    </w:p>
    <w:p w14:paraId="71A1BD70" w14:textId="77777777" w:rsidR="003B31A0" w:rsidRPr="00D968FE" w:rsidRDefault="003B31A0" w:rsidP="00D968FE">
      <w:pPr>
        <w:pStyle w:val="ListParagraph"/>
        <w:spacing w:line="276" w:lineRule="auto"/>
        <w:jc w:val="both"/>
        <w:rPr>
          <w:rFonts w:ascii="Calibri" w:eastAsia="Calibri" w:hAnsi="Calibri" w:cs="Calibri"/>
          <w:sz w:val="16"/>
          <w:szCs w:val="16"/>
        </w:rPr>
      </w:pPr>
    </w:p>
    <w:p w14:paraId="37C11B9D" w14:textId="27E12670" w:rsidR="008C2371" w:rsidRDefault="00AF53B1">
      <w:pPr>
        <w:spacing w:line="276" w:lineRule="auto"/>
        <w:jc w:val="both"/>
        <w:rPr>
          <w:rFonts w:ascii="Calibri" w:eastAsia="Calibri" w:hAnsi="Calibri" w:cs="Calibri"/>
        </w:rPr>
      </w:pPr>
      <w:r>
        <w:rPr>
          <w:rFonts w:ascii="Calibri" w:eastAsia="Calibri" w:hAnsi="Calibri" w:cs="Calibri"/>
        </w:rPr>
        <w:t xml:space="preserve">Please </w:t>
      </w:r>
      <w:r w:rsidR="003B31A0">
        <w:rPr>
          <w:rFonts w:ascii="Calibri" w:eastAsia="Calibri" w:hAnsi="Calibri" w:cs="Calibri"/>
        </w:rPr>
        <w:t>look</w:t>
      </w:r>
      <w:r>
        <w:rPr>
          <w:rFonts w:ascii="Calibri" w:eastAsia="Calibri" w:hAnsi="Calibri" w:cs="Calibri"/>
        </w:rPr>
        <w:t xml:space="preserve"> through the enclosed illustration for details of these charges and how they’ll affect your investment.  </w:t>
      </w:r>
    </w:p>
    <w:p w14:paraId="69E744DF" w14:textId="77777777" w:rsidR="008C2371" w:rsidRDefault="008C2371">
      <w:pPr>
        <w:spacing w:line="276" w:lineRule="auto"/>
        <w:jc w:val="both"/>
        <w:rPr>
          <w:rFonts w:ascii="Calibri" w:eastAsia="Calibri" w:hAnsi="Calibri" w:cs="Calibri"/>
          <w:color w:val="FF0000"/>
        </w:rPr>
      </w:pPr>
      <w:bookmarkStart w:id="8" w:name="bookmark=id.3rdcrjn" w:colFirst="0" w:colLast="0"/>
      <w:bookmarkStart w:id="9" w:name="_heading=h.17dp8vu" w:colFirst="0" w:colLast="0"/>
      <w:bookmarkEnd w:id="8"/>
      <w:bookmarkEnd w:id="9"/>
    </w:p>
    <w:p w14:paraId="684A20EF" w14:textId="6D2CD4BD" w:rsidR="008C2371" w:rsidRDefault="00AF53B1" w:rsidP="005C2D53">
      <w:pPr>
        <w:pStyle w:val="Heading1"/>
        <w:numPr>
          <w:ilvl w:val="0"/>
          <w:numId w:val="3"/>
        </w:numPr>
        <w:pBdr>
          <w:bottom w:val="single" w:sz="12" w:space="1" w:color="629DD1"/>
        </w:pBdr>
        <w:spacing w:line="276" w:lineRule="auto"/>
        <w:rPr>
          <w:rFonts w:ascii="Calibri" w:eastAsia="Calibri" w:hAnsi="Calibri" w:cs="Calibri"/>
          <w:sz w:val="20"/>
          <w:szCs w:val="20"/>
        </w:rPr>
      </w:pPr>
      <w:bookmarkStart w:id="10" w:name="_heading=h.z337ya" w:colFirst="0" w:colLast="0"/>
      <w:bookmarkEnd w:id="10"/>
      <w:r>
        <w:rPr>
          <w:rFonts w:ascii="Calibri" w:eastAsia="Calibri" w:hAnsi="Calibri" w:cs="Calibri"/>
          <w:sz w:val="20"/>
          <w:szCs w:val="20"/>
        </w:rPr>
        <w:t>What Happens Next</w:t>
      </w:r>
    </w:p>
    <w:p w14:paraId="7EDE6FAD" w14:textId="77777777" w:rsidR="008C2371" w:rsidRDefault="008C2371">
      <w:pPr>
        <w:spacing w:line="276" w:lineRule="auto"/>
        <w:jc w:val="both"/>
        <w:rPr>
          <w:rFonts w:ascii="Calibri" w:eastAsia="Calibri" w:hAnsi="Calibri" w:cs="Calibri"/>
        </w:rPr>
      </w:pPr>
    </w:p>
    <w:p w14:paraId="5A3A4516" w14:textId="50E65658" w:rsidR="008C2371" w:rsidRDefault="00AF53B1" w:rsidP="004C1275">
      <w:pPr>
        <w:spacing w:line="276" w:lineRule="auto"/>
        <w:rPr>
          <w:rFonts w:ascii="Calibri" w:eastAsia="Calibri" w:hAnsi="Calibri" w:cs="Calibri"/>
          <w:sz w:val="22"/>
          <w:szCs w:val="22"/>
        </w:rPr>
      </w:pPr>
      <w:bookmarkStart w:id="11" w:name="_heading=h.3j2qqm3" w:colFirst="0" w:colLast="0"/>
      <w:bookmarkEnd w:id="11"/>
      <w:r>
        <w:rPr>
          <w:rFonts w:ascii="Calibri" w:eastAsia="Calibri" w:hAnsi="Calibri" w:cs="Calibri"/>
          <w:sz w:val="22"/>
          <w:szCs w:val="22"/>
        </w:rPr>
        <w:t xml:space="preserve">Please </w:t>
      </w:r>
      <w:r w:rsidR="00276B3F">
        <w:rPr>
          <w:rFonts w:ascii="Calibri" w:eastAsia="Calibri" w:hAnsi="Calibri" w:cs="Calibri"/>
          <w:sz w:val="22"/>
          <w:szCs w:val="22"/>
        </w:rPr>
        <w:t xml:space="preserve">review and </w:t>
      </w:r>
      <w:r>
        <w:rPr>
          <w:rFonts w:ascii="Calibri" w:eastAsia="Calibri" w:hAnsi="Calibri" w:cs="Calibri"/>
          <w:sz w:val="22"/>
          <w:szCs w:val="22"/>
        </w:rPr>
        <w:t>sign the</w:t>
      </w:r>
      <w:r w:rsidR="001F444B">
        <w:rPr>
          <w:rFonts w:ascii="Calibri" w:eastAsia="Calibri" w:hAnsi="Calibri" w:cs="Calibri"/>
          <w:sz w:val="22"/>
          <w:szCs w:val="22"/>
        </w:rPr>
        <w:t xml:space="preserve"> enclosed and pre-completed</w:t>
      </w:r>
      <w:r>
        <w:rPr>
          <w:rFonts w:ascii="Calibri" w:eastAsia="Calibri" w:hAnsi="Calibri" w:cs="Calibri"/>
          <w:sz w:val="22"/>
          <w:szCs w:val="22"/>
        </w:rPr>
        <w:t xml:space="preserve"> </w:t>
      </w:r>
      <w:r w:rsidR="00315905">
        <w:rPr>
          <w:rFonts w:ascii="Calibri" w:eastAsia="Calibri" w:hAnsi="Calibri" w:cs="Calibri"/>
          <w:sz w:val="22"/>
          <w:szCs w:val="22"/>
        </w:rPr>
        <w:t xml:space="preserve">top-up </w:t>
      </w:r>
      <w:r w:rsidR="001F444B">
        <w:rPr>
          <w:rFonts w:ascii="Calibri" w:eastAsia="Calibri" w:hAnsi="Calibri" w:cs="Calibri"/>
          <w:sz w:val="22"/>
          <w:szCs w:val="22"/>
        </w:rPr>
        <w:t>application form and return to me</w:t>
      </w:r>
      <w:r w:rsidR="00C6478D">
        <w:rPr>
          <w:rFonts w:ascii="Calibri" w:eastAsia="Calibri" w:hAnsi="Calibri" w:cs="Calibri"/>
          <w:sz w:val="22"/>
          <w:szCs w:val="22"/>
        </w:rPr>
        <w:t xml:space="preserve">, or I can email you a link to </w:t>
      </w:r>
      <w:r w:rsidR="00C6478D" w:rsidRPr="00747CD0">
        <w:rPr>
          <w:rFonts w:ascii="Calibri" w:eastAsia="Calibri" w:hAnsi="Calibri" w:cs="Calibri"/>
          <w:sz w:val="22"/>
          <w:szCs w:val="22"/>
        </w:rPr>
        <w:t>review and submit this</w:t>
      </w:r>
      <w:r w:rsidR="00C6478D">
        <w:rPr>
          <w:rFonts w:ascii="Calibri" w:eastAsia="Calibri" w:hAnsi="Calibri" w:cs="Calibri"/>
          <w:b/>
          <w:bCs/>
          <w:sz w:val="22"/>
          <w:szCs w:val="22"/>
        </w:rPr>
        <w:t xml:space="preserve"> </w:t>
      </w:r>
      <w:r w:rsidR="00276B3F">
        <w:rPr>
          <w:rFonts w:ascii="Calibri" w:eastAsia="Calibri" w:hAnsi="Calibri" w:cs="Calibri"/>
          <w:sz w:val="22"/>
          <w:szCs w:val="22"/>
        </w:rPr>
        <w:t>form online</w:t>
      </w:r>
      <w:r w:rsidR="001F444B">
        <w:rPr>
          <w:rFonts w:ascii="Calibri" w:eastAsia="Calibri" w:hAnsi="Calibri" w:cs="Calibri"/>
          <w:sz w:val="22"/>
          <w:szCs w:val="22"/>
        </w:rPr>
        <w:t>.</w:t>
      </w:r>
      <w:r w:rsidR="004C1275">
        <w:rPr>
          <w:rFonts w:ascii="Calibri" w:eastAsia="Calibri" w:hAnsi="Calibri" w:cs="Calibri"/>
          <w:sz w:val="22"/>
          <w:szCs w:val="22"/>
        </w:rPr>
        <w:t xml:space="preserve">  </w:t>
      </w:r>
      <w:r>
        <w:rPr>
          <w:rFonts w:ascii="Calibri" w:eastAsia="Calibri" w:hAnsi="Calibri" w:cs="Calibri"/>
          <w:sz w:val="22"/>
          <w:szCs w:val="22"/>
        </w:rPr>
        <w:t>If you have any queries or need us to explain any aspect of</w:t>
      </w:r>
      <w:r w:rsidR="001F444B">
        <w:rPr>
          <w:rFonts w:ascii="Calibri" w:eastAsia="Calibri" w:hAnsi="Calibri" w:cs="Calibri"/>
          <w:sz w:val="22"/>
          <w:szCs w:val="22"/>
        </w:rPr>
        <w:t xml:space="preserve"> this top-up recommendation</w:t>
      </w:r>
      <w:r>
        <w:rPr>
          <w:rFonts w:ascii="Calibri" w:eastAsia="Calibri" w:hAnsi="Calibri" w:cs="Calibri"/>
          <w:sz w:val="22"/>
          <w:szCs w:val="22"/>
        </w:rPr>
        <w:t xml:space="preserve">, please give me a call and I’ll go through this with you.  </w:t>
      </w:r>
    </w:p>
    <w:p w14:paraId="087941C6" w14:textId="11E42179" w:rsidR="008C2371" w:rsidRDefault="008C2371">
      <w:pPr>
        <w:spacing w:line="276" w:lineRule="auto"/>
        <w:jc w:val="both"/>
        <w:rPr>
          <w:rFonts w:ascii="Calibri" w:eastAsia="Calibri" w:hAnsi="Calibri" w:cs="Calibri"/>
          <w:sz w:val="22"/>
          <w:szCs w:val="22"/>
        </w:rPr>
      </w:pPr>
    </w:p>
    <w:p w14:paraId="77E4E2FD" w14:textId="37F2992F" w:rsidR="005C2D53" w:rsidRDefault="005C2D53">
      <w:pPr>
        <w:spacing w:line="276" w:lineRule="auto"/>
        <w:jc w:val="both"/>
        <w:rPr>
          <w:rFonts w:ascii="Calibri" w:eastAsia="Calibri" w:hAnsi="Calibri" w:cs="Calibri"/>
          <w:sz w:val="22"/>
          <w:szCs w:val="22"/>
        </w:rPr>
      </w:pPr>
      <w:r>
        <w:rPr>
          <w:rFonts w:ascii="Calibri" w:eastAsia="Calibri" w:hAnsi="Calibri" w:cs="Calibri"/>
          <w:sz w:val="22"/>
          <w:szCs w:val="22"/>
        </w:rPr>
        <w:t xml:space="preserve">Your investments and financial planning needs will continue to be reviewed </w:t>
      </w:r>
      <w:r w:rsidRPr="005C2D53">
        <w:rPr>
          <w:rFonts w:ascii="Calibri" w:eastAsia="Calibri" w:hAnsi="Calibri" w:cs="Calibri"/>
          <w:color w:val="FF0000"/>
          <w:sz w:val="22"/>
          <w:szCs w:val="22"/>
        </w:rPr>
        <w:t>each year</w:t>
      </w:r>
      <w:r>
        <w:rPr>
          <w:rFonts w:ascii="Calibri" w:eastAsia="Calibri" w:hAnsi="Calibri" w:cs="Calibri"/>
          <w:sz w:val="22"/>
          <w:szCs w:val="22"/>
        </w:rPr>
        <w:t>.</w:t>
      </w:r>
    </w:p>
    <w:p w14:paraId="7D6B0E63" w14:textId="77777777" w:rsidR="005C2D53" w:rsidRDefault="005C2D53">
      <w:pPr>
        <w:spacing w:line="276" w:lineRule="auto"/>
        <w:jc w:val="both"/>
        <w:rPr>
          <w:rFonts w:ascii="Calibri" w:eastAsia="Calibri" w:hAnsi="Calibri" w:cs="Calibri"/>
          <w:sz w:val="22"/>
          <w:szCs w:val="22"/>
        </w:rPr>
      </w:pPr>
    </w:p>
    <w:p w14:paraId="2EDD082C" w14:textId="561F9CCC" w:rsidR="008C2371" w:rsidRDefault="00AF53B1">
      <w:pPr>
        <w:spacing w:line="276" w:lineRule="auto"/>
        <w:jc w:val="both"/>
        <w:rPr>
          <w:rFonts w:ascii="Calibri" w:eastAsia="Calibri" w:hAnsi="Calibri" w:cs="Calibri"/>
          <w:sz w:val="22"/>
          <w:szCs w:val="22"/>
        </w:rPr>
      </w:pPr>
      <w:r>
        <w:rPr>
          <w:rFonts w:ascii="Calibri" w:eastAsia="Calibri" w:hAnsi="Calibri" w:cs="Calibri"/>
          <w:sz w:val="22"/>
          <w:szCs w:val="22"/>
        </w:rPr>
        <w:t xml:space="preserve">I look forward to </w:t>
      </w:r>
      <w:r w:rsidR="001F444B">
        <w:rPr>
          <w:rFonts w:ascii="Calibri" w:eastAsia="Calibri" w:hAnsi="Calibri" w:cs="Calibri"/>
          <w:sz w:val="22"/>
          <w:szCs w:val="22"/>
        </w:rPr>
        <w:t>hearing from you in due course.</w:t>
      </w:r>
    </w:p>
    <w:p w14:paraId="6D1ADEF6" w14:textId="77777777" w:rsidR="001F444B" w:rsidRDefault="001F444B">
      <w:pPr>
        <w:spacing w:line="276" w:lineRule="auto"/>
        <w:jc w:val="both"/>
        <w:rPr>
          <w:rFonts w:ascii="Calibri" w:eastAsia="Calibri" w:hAnsi="Calibri" w:cs="Calibri"/>
          <w:sz w:val="22"/>
          <w:szCs w:val="22"/>
        </w:rPr>
      </w:pPr>
    </w:p>
    <w:p w14:paraId="4276735D" w14:textId="77777777" w:rsidR="008C2371" w:rsidRDefault="00AF53B1">
      <w:pPr>
        <w:spacing w:line="276" w:lineRule="auto"/>
        <w:rPr>
          <w:rFonts w:ascii="Calibri" w:eastAsia="Calibri" w:hAnsi="Calibri" w:cs="Calibri"/>
          <w:sz w:val="22"/>
          <w:szCs w:val="22"/>
        </w:rPr>
      </w:pPr>
      <w:r>
        <w:rPr>
          <w:rFonts w:ascii="Calibri" w:eastAsia="Calibri" w:hAnsi="Calibri" w:cs="Calibri"/>
          <w:sz w:val="22"/>
          <w:szCs w:val="22"/>
        </w:rPr>
        <w:t>Yours sincerely,</w:t>
      </w:r>
    </w:p>
    <w:p w14:paraId="4341DD61" w14:textId="70EB666E" w:rsidR="008C2371" w:rsidRDefault="008C2371">
      <w:pPr>
        <w:spacing w:line="276" w:lineRule="auto"/>
        <w:rPr>
          <w:rFonts w:ascii="Calibri" w:eastAsia="Calibri" w:hAnsi="Calibri" w:cs="Calibri"/>
          <w:sz w:val="22"/>
          <w:szCs w:val="22"/>
        </w:rPr>
      </w:pPr>
    </w:p>
    <w:p w14:paraId="11C5794F" w14:textId="5FCB7C2D" w:rsidR="00B53555" w:rsidRDefault="00B53555">
      <w:pPr>
        <w:spacing w:line="276" w:lineRule="auto"/>
        <w:rPr>
          <w:rFonts w:ascii="Calibri" w:eastAsia="Calibri" w:hAnsi="Calibri" w:cs="Calibri"/>
          <w:sz w:val="22"/>
          <w:szCs w:val="22"/>
        </w:rPr>
      </w:pPr>
    </w:p>
    <w:p w14:paraId="1C67B832" w14:textId="77777777" w:rsidR="00B53555" w:rsidRDefault="00B53555">
      <w:pPr>
        <w:spacing w:line="276" w:lineRule="auto"/>
        <w:rPr>
          <w:rFonts w:ascii="Calibri" w:eastAsia="Calibri" w:hAnsi="Calibri" w:cs="Calibri"/>
          <w:sz w:val="22"/>
          <w:szCs w:val="22"/>
        </w:rPr>
      </w:pPr>
    </w:p>
    <w:p w14:paraId="55D3B59A" w14:textId="62D4FDA9" w:rsidR="008C2371" w:rsidRPr="00633D7B" w:rsidRDefault="00633D7B">
      <w:pPr>
        <w:spacing w:line="276" w:lineRule="auto"/>
        <w:rPr>
          <w:rFonts w:ascii="Calibri" w:eastAsia="Calibri" w:hAnsi="Calibri" w:cs="Calibri"/>
          <w:bCs/>
          <w:color w:val="FF0000"/>
          <w:sz w:val="22"/>
          <w:szCs w:val="22"/>
        </w:rPr>
      </w:pPr>
      <w:r w:rsidRPr="00633D7B">
        <w:rPr>
          <w:rFonts w:ascii="Calibri" w:eastAsia="Calibri" w:hAnsi="Calibri" w:cs="Calibri"/>
          <w:bCs/>
          <w:color w:val="FF0000"/>
          <w:sz w:val="22"/>
          <w:szCs w:val="22"/>
        </w:rPr>
        <w:t>[Insert name, company, job title]</w:t>
      </w:r>
    </w:p>
    <w:p w14:paraId="3C8EAA7C" w14:textId="77777777" w:rsidR="008C2371" w:rsidRDefault="008C2371">
      <w:pPr>
        <w:spacing w:line="276" w:lineRule="auto"/>
        <w:rPr>
          <w:rFonts w:ascii="Calibri" w:eastAsia="Calibri" w:hAnsi="Calibri" w:cs="Calibri"/>
          <w:b/>
          <w:sz w:val="22"/>
          <w:szCs w:val="22"/>
          <w:highlight w:val="yellow"/>
        </w:rPr>
      </w:pPr>
      <w:bookmarkStart w:id="12" w:name="_heading=h.1y810tw" w:colFirst="0" w:colLast="0"/>
      <w:bookmarkStart w:id="13" w:name="_heading=h.4i7ojhp" w:colFirst="0" w:colLast="0"/>
      <w:bookmarkStart w:id="14" w:name="bookmark=id.2xcytpi" w:colFirst="0" w:colLast="0"/>
      <w:bookmarkStart w:id="15" w:name="bookmark=id.1ci93xb" w:colFirst="0" w:colLast="0"/>
      <w:bookmarkStart w:id="16" w:name="bookmark=id.3l18frh" w:colFirst="0" w:colLast="0"/>
      <w:bookmarkEnd w:id="12"/>
      <w:bookmarkEnd w:id="13"/>
      <w:bookmarkEnd w:id="14"/>
      <w:bookmarkEnd w:id="15"/>
      <w:bookmarkEnd w:id="16"/>
    </w:p>
    <w:sectPr w:rsidR="008C2371">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C425" w14:textId="77777777" w:rsidR="00690860" w:rsidRDefault="00690860">
      <w:r>
        <w:separator/>
      </w:r>
    </w:p>
  </w:endnote>
  <w:endnote w:type="continuationSeparator" w:id="0">
    <w:p w14:paraId="3A91EA16" w14:textId="77777777" w:rsidR="00690860" w:rsidRDefault="0069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00"/>
    <w:family w:val="roman"/>
    <w:notTrueType/>
    <w:pitch w:val="default"/>
  </w:font>
  <w:font w:name="Lucida Grande">
    <w:altName w:val="Segoe UI"/>
    <w:panose1 w:val="00000000000000000000"/>
    <w:charset w:val="00"/>
    <w:family w:val="roman"/>
    <w:notTrueType/>
    <w:pitch w:val="default"/>
  </w:font>
  <w:font w:name="HelveticaNeueLT Std">
    <w:panose1 w:val="00000000000000000000"/>
    <w:charset w:val="00"/>
    <w:family w:val="roman"/>
    <w:notTrueType/>
    <w:pitch w:val="default"/>
  </w:font>
  <w:font w:name="Meiryo">
    <w:charset w:val="80"/>
    <w:family w:val="swiss"/>
    <w:pitch w:val="variable"/>
    <w:sig w:usb0="E00002FF" w:usb1="6AC7FFFF" w:usb2="08000012" w:usb3="00000000" w:csb0="0002009F" w:csb1="00000000"/>
  </w:font>
  <w:font w:name="News Gothic MT">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410E" w14:textId="77777777" w:rsidR="008C2371" w:rsidRDefault="00AF53B1">
    <w:pPr>
      <w:pBdr>
        <w:top w:val="nil"/>
        <w:left w:val="nil"/>
        <w:bottom w:val="nil"/>
        <w:right w:val="nil"/>
        <w:between w:val="nil"/>
      </w:pBdr>
      <w:tabs>
        <w:tab w:val="center" w:pos="4513"/>
        <w:tab w:val="right" w:pos="9026"/>
      </w:tabs>
      <w:jc w:val="right"/>
      <w:rPr>
        <w:rFonts w:ascii="Calibri" w:eastAsia="Calibri" w:hAnsi="Calibri" w:cs="Calibri"/>
        <w:color w:val="000000"/>
        <w:sz w:val="16"/>
        <w:szCs w:val="16"/>
      </w:rPr>
    </w:pP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sidR="001F444B">
      <w:rPr>
        <w:rFonts w:ascii="Calibri" w:eastAsia="Calibri" w:hAnsi="Calibri" w:cs="Calibri"/>
        <w:noProof/>
        <w:color w:val="000000"/>
        <w:sz w:val="16"/>
        <w:szCs w:val="16"/>
      </w:rPr>
      <w:t>1</w:t>
    </w:r>
    <w:r>
      <w:rPr>
        <w:rFonts w:ascii="Calibri" w:eastAsia="Calibri" w:hAnsi="Calibri" w:cs="Calibri"/>
        <w:color w:val="000000"/>
        <w:sz w:val="16"/>
        <w:szCs w:val="16"/>
      </w:rPr>
      <w:fldChar w:fldCharType="end"/>
    </w:r>
  </w:p>
  <w:p w14:paraId="5BE0A85A" w14:textId="77777777" w:rsidR="008C2371" w:rsidRDefault="008C2371">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61D78" w14:textId="77777777" w:rsidR="00690860" w:rsidRDefault="00690860">
      <w:r>
        <w:separator/>
      </w:r>
    </w:p>
  </w:footnote>
  <w:footnote w:type="continuationSeparator" w:id="0">
    <w:p w14:paraId="54F96FC8" w14:textId="77777777" w:rsidR="00690860" w:rsidRDefault="00690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0813"/>
    <w:multiLevelType w:val="hybridMultilevel"/>
    <w:tmpl w:val="CC2C544A"/>
    <w:lvl w:ilvl="0" w:tplc="5B4A8A9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BA063C"/>
    <w:multiLevelType w:val="hybridMultilevel"/>
    <w:tmpl w:val="A10C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9572C"/>
    <w:multiLevelType w:val="hybridMultilevel"/>
    <w:tmpl w:val="1F66DBC4"/>
    <w:lvl w:ilvl="0" w:tplc="A0E2941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A93A4F"/>
    <w:multiLevelType w:val="hybridMultilevel"/>
    <w:tmpl w:val="1CE25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83844"/>
    <w:multiLevelType w:val="multilevel"/>
    <w:tmpl w:val="8B329BBC"/>
    <w:lvl w:ilvl="0">
      <w:start w:val="1"/>
      <w:numFmt w:val="bullet"/>
      <w:lvlText w:val="🗹"/>
      <w:lvlJc w:val="left"/>
      <w:pPr>
        <w:ind w:left="720" w:hanging="360"/>
      </w:pPr>
      <w:rPr>
        <w:rFonts w:ascii="Noto Sans Symbols" w:eastAsia="Noto Sans Symbols" w:hAnsi="Noto Sans Symbols" w:cs="Noto Sans Symbols"/>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687430D"/>
    <w:multiLevelType w:val="hybridMultilevel"/>
    <w:tmpl w:val="18967D54"/>
    <w:lvl w:ilvl="0" w:tplc="8CD2B9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072D73"/>
    <w:multiLevelType w:val="hybridMultilevel"/>
    <w:tmpl w:val="FC54D564"/>
    <w:lvl w:ilvl="0" w:tplc="05ACD0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EC45E3"/>
    <w:multiLevelType w:val="multilevel"/>
    <w:tmpl w:val="B82C271A"/>
    <w:lvl w:ilvl="0">
      <w:start w:val="1"/>
      <w:numFmt w:val="bullet"/>
      <w:pStyle w:val="ListBullet"/>
      <w:lvlText w:val="◻"/>
      <w:lvlJc w:val="left"/>
      <w:pPr>
        <w:ind w:left="720" w:hanging="360"/>
      </w:pPr>
      <w:rPr>
        <w:rFonts w:ascii="Noto Sans Symbols" w:eastAsia="Noto Sans Symbols" w:hAnsi="Noto Sans Symbols" w:cs="Noto Sans Symbols"/>
        <w:b w:val="0"/>
        <w:i w:val="0"/>
        <w:sz w:val="24"/>
        <w:szCs w:val="24"/>
      </w:rPr>
    </w:lvl>
    <w:lvl w:ilvl="1">
      <w:start w:val="1"/>
      <w:numFmt w:val="bullet"/>
      <w:pStyle w:val="ListBullet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10E0397"/>
    <w:multiLevelType w:val="multilevel"/>
    <w:tmpl w:val="ECAAE96E"/>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9D95C4E"/>
    <w:multiLevelType w:val="multilevel"/>
    <w:tmpl w:val="B9D0FC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519039">
    <w:abstractNumId w:val="7"/>
  </w:num>
  <w:num w:numId="2" w16cid:durableId="485319879">
    <w:abstractNumId w:val="4"/>
  </w:num>
  <w:num w:numId="3" w16cid:durableId="762384988">
    <w:abstractNumId w:val="9"/>
  </w:num>
  <w:num w:numId="4" w16cid:durableId="2027360888">
    <w:abstractNumId w:val="8"/>
  </w:num>
  <w:num w:numId="5" w16cid:durableId="1883244107">
    <w:abstractNumId w:val="0"/>
  </w:num>
  <w:num w:numId="6" w16cid:durableId="177502142">
    <w:abstractNumId w:val="2"/>
  </w:num>
  <w:num w:numId="7" w16cid:durableId="945574274">
    <w:abstractNumId w:val="3"/>
  </w:num>
  <w:num w:numId="8" w16cid:durableId="1238704652">
    <w:abstractNumId w:val="1"/>
  </w:num>
  <w:num w:numId="9" w16cid:durableId="58217645">
    <w:abstractNumId w:val="5"/>
  </w:num>
  <w:num w:numId="10" w16cid:durableId="1894074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71"/>
    <w:rsid w:val="00002022"/>
    <w:rsid w:val="00013B95"/>
    <w:rsid w:val="00090EE4"/>
    <w:rsid w:val="000F0659"/>
    <w:rsid w:val="00141E8B"/>
    <w:rsid w:val="00170D8D"/>
    <w:rsid w:val="001951AC"/>
    <w:rsid w:val="001D4B1E"/>
    <w:rsid w:val="001F000D"/>
    <w:rsid w:val="001F444B"/>
    <w:rsid w:val="00276A97"/>
    <w:rsid w:val="00276B3F"/>
    <w:rsid w:val="00303CB2"/>
    <w:rsid w:val="00315905"/>
    <w:rsid w:val="003B31A0"/>
    <w:rsid w:val="003C6005"/>
    <w:rsid w:val="00445A5E"/>
    <w:rsid w:val="004C1275"/>
    <w:rsid w:val="004D509E"/>
    <w:rsid w:val="004F7827"/>
    <w:rsid w:val="005C2D53"/>
    <w:rsid w:val="005F485B"/>
    <w:rsid w:val="00606697"/>
    <w:rsid w:val="0061554A"/>
    <w:rsid w:val="00633D7B"/>
    <w:rsid w:val="00637D01"/>
    <w:rsid w:val="00656F1F"/>
    <w:rsid w:val="00687000"/>
    <w:rsid w:val="00690860"/>
    <w:rsid w:val="006977F3"/>
    <w:rsid w:val="006C4032"/>
    <w:rsid w:val="006F4C9E"/>
    <w:rsid w:val="0071350E"/>
    <w:rsid w:val="00747CD0"/>
    <w:rsid w:val="007500B0"/>
    <w:rsid w:val="007F4993"/>
    <w:rsid w:val="007F5E87"/>
    <w:rsid w:val="0084654D"/>
    <w:rsid w:val="00897FCA"/>
    <w:rsid w:val="008B2D61"/>
    <w:rsid w:val="008C2371"/>
    <w:rsid w:val="009618EF"/>
    <w:rsid w:val="009809CC"/>
    <w:rsid w:val="00994A17"/>
    <w:rsid w:val="00A304BC"/>
    <w:rsid w:val="00A3446D"/>
    <w:rsid w:val="00A73C6F"/>
    <w:rsid w:val="00A821BA"/>
    <w:rsid w:val="00AA000D"/>
    <w:rsid w:val="00AA7F1D"/>
    <w:rsid w:val="00AF53B1"/>
    <w:rsid w:val="00B06FEC"/>
    <w:rsid w:val="00B53555"/>
    <w:rsid w:val="00B57FAB"/>
    <w:rsid w:val="00B71F9E"/>
    <w:rsid w:val="00BA13C9"/>
    <w:rsid w:val="00BB6C3A"/>
    <w:rsid w:val="00BC55FA"/>
    <w:rsid w:val="00C02FEF"/>
    <w:rsid w:val="00C56A89"/>
    <w:rsid w:val="00C6478D"/>
    <w:rsid w:val="00C82FC6"/>
    <w:rsid w:val="00C83B78"/>
    <w:rsid w:val="00CA4332"/>
    <w:rsid w:val="00CB79A7"/>
    <w:rsid w:val="00D013A6"/>
    <w:rsid w:val="00D44342"/>
    <w:rsid w:val="00D968FE"/>
    <w:rsid w:val="00DB5B6E"/>
    <w:rsid w:val="00DC6C6B"/>
    <w:rsid w:val="00DF50C3"/>
    <w:rsid w:val="00E332B3"/>
    <w:rsid w:val="00E57285"/>
    <w:rsid w:val="00E7422A"/>
    <w:rsid w:val="00E84938"/>
    <w:rsid w:val="00E916A7"/>
    <w:rsid w:val="00EF0AB6"/>
    <w:rsid w:val="00F41955"/>
    <w:rsid w:val="00F55509"/>
    <w:rsid w:val="00F657E2"/>
    <w:rsid w:val="00F73C06"/>
    <w:rsid w:val="00F856EE"/>
    <w:rsid w:val="00FB1019"/>
    <w:rsid w:val="00FB2E41"/>
    <w:rsid w:val="00FE3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9ABB"/>
  <w15:docId w15:val="{87EE20B0-401E-4FD2-8B72-D320EFF3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E71"/>
    <w:rPr>
      <w:lang w:eastAsia="en-US"/>
    </w:rPr>
  </w:style>
  <w:style w:type="paragraph" w:styleId="Heading1">
    <w:name w:val="heading 1"/>
    <w:basedOn w:val="Normal"/>
    <w:next w:val="Normal"/>
    <w:link w:val="Heading1Char"/>
    <w:uiPriority w:val="9"/>
    <w:qFormat/>
    <w:rsid w:val="00944E71"/>
    <w:pPr>
      <w:keepNext/>
      <w:keepLines/>
      <w:numPr>
        <w:numId w:val="4"/>
      </w:numPr>
      <w:outlineLvl w:val="0"/>
    </w:pPr>
    <w:rPr>
      <w:b/>
      <w:bCs/>
      <w:sz w:val="28"/>
      <w:szCs w:val="28"/>
    </w:rPr>
  </w:style>
  <w:style w:type="paragraph" w:styleId="Heading2">
    <w:name w:val="heading 2"/>
    <w:basedOn w:val="Normal"/>
    <w:next w:val="Normal"/>
    <w:link w:val="Heading2Char"/>
    <w:uiPriority w:val="9"/>
    <w:semiHidden/>
    <w:unhideWhenUsed/>
    <w:qFormat/>
    <w:rsid w:val="00944E71"/>
    <w:pPr>
      <w:keepNext/>
      <w:keepLines/>
      <w:numPr>
        <w:ilvl w:val="1"/>
        <w:numId w:val="4"/>
      </w:numPr>
      <w:tabs>
        <w:tab w:val="num" w:pos="357"/>
      </w:tabs>
      <w:ind w:left="0" w:firstLine="0"/>
      <w:outlineLvl w:val="1"/>
    </w:pPr>
    <w:rPr>
      <w:b/>
      <w:bCs/>
    </w:rPr>
  </w:style>
  <w:style w:type="paragraph" w:styleId="Heading3">
    <w:name w:val="heading 3"/>
    <w:basedOn w:val="Normal"/>
    <w:next w:val="Normal"/>
    <w:link w:val="Heading3Char"/>
    <w:uiPriority w:val="9"/>
    <w:semiHidden/>
    <w:unhideWhenUsed/>
    <w:qFormat/>
    <w:rsid w:val="00944E71"/>
    <w:pPr>
      <w:keepNext/>
      <w:keepLines/>
      <w:numPr>
        <w:ilvl w:val="2"/>
        <w:numId w:val="4"/>
      </w:numPr>
      <w:ind w:left="0" w:firstLine="0"/>
      <w:outlineLvl w:val="2"/>
    </w:pPr>
    <w:rPr>
      <w:i/>
      <w:iCs/>
      <w:u w:val="single"/>
    </w:rPr>
  </w:style>
  <w:style w:type="paragraph" w:styleId="Heading4">
    <w:name w:val="heading 4"/>
    <w:basedOn w:val="Normal"/>
    <w:next w:val="Normal"/>
    <w:link w:val="Heading4Char"/>
    <w:uiPriority w:val="9"/>
    <w:semiHidden/>
    <w:unhideWhenUsed/>
    <w:qFormat/>
    <w:rsid w:val="003F54E4"/>
    <w:pPr>
      <w:keepNext/>
      <w:keepLines/>
      <w:spacing w:before="20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7A4717"/>
    <w:pPr>
      <w:keepNext/>
      <w:keepLines/>
      <w:spacing w:before="20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qFormat/>
    <w:rsid w:val="00944E71"/>
    <w:pPr>
      <w:keepNext/>
      <w:keepLines/>
      <w:numPr>
        <w:ilvl w:val="6"/>
        <w:numId w:val="4"/>
      </w:numPr>
      <w:ind w:left="0" w:firstLine="0"/>
      <w:outlineLvl w:val="6"/>
    </w:pPr>
    <w:rPr>
      <w:b/>
      <w:bCs/>
      <w:sz w:val="28"/>
      <w:szCs w:val="28"/>
    </w:rPr>
  </w:style>
  <w:style w:type="paragraph" w:styleId="Heading9">
    <w:name w:val="heading 9"/>
    <w:basedOn w:val="Normal"/>
    <w:next w:val="Normal"/>
    <w:link w:val="Heading9Char"/>
    <w:uiPriority w:val="9"/>
    <w:semiHidden/>
    <w:unhideWhenUsed/>
    <w:qFormat/>
    <w:locked/>
    <w:rsid w:val="00D072A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locked/>
    <w:rsid w:val="00944E71"/>
    <w:rPr>
      <w:rFonts w:ascii="Arial" w:hAnsi="Arial" w:cs="Arial"/>
      <w:b/>
      <w:bCs/>
      <w:sz w:val="28"/>
      <w:szCs w:val="28"/>
      <w:lang w:eastAsia="en-US"/>
    </w:rPr>
  </w:style>
  <w:style w:type="character" w:customStyle="1" w:styleId="Heading2Char">
    <w:name w:val="Heading 2 Char"/>
    <w:basedOn w:val="DefaultParagraphFont"/>
    <w:link w:val="Heading2"/>
    <w:uiPriority w:val="9"/>
    <w:locked/>
    <w:rsid w:val="00944E71"/>
    <w:rPr>
      <w:rFonts w:ascii="Arial" w:hAnsi="Arial" w:cs="Arial"/>
      <w:b/>
      <w:bCs/>
      <w:sz w:val="20"/>
      <w:szCs w:val="20"/>
      <w:lang w:eastAsia="en-US"/>
    </w:rPr>
  </w:style>
  <w:style w:type="character" w:customStyle="1" w:styleId="Heading3Char">
    <w:name w:val="Heading 3 Char"/>
    <w:basedOn w:val="DefaultParagraphFont"/>
    <w:link w:val="Heading3"/>
    <w:uiPriority w:val="9"/>
    <w:locked/>
    <w:rsid w:val="00944E71"/>
    <w:rPr>
      <w:rFonts w:ascii="Arial" w:hAnsi="Arial" w:cs="Arial"/>
      <w:i/>
      <w:iCs/>
      <w:sz w:val="20"/>
      <w:szCs w:val="20"/>
      <w:u w:val="single"/>
      <w:lang w:eastAsia="en-US"/>
    </w:rPr>
  </w:style>
  <w:style w:type="character" w:customStyle="1" w:styleId="Heading7Char">
    <w:name w:val="Heading 7 Char"/>
    <w:basedOn w:val="DefaultParagraphFont"/>
    <w:link w:val="Heading7"/>
    <w:uiPriority w:val="9"/>
    <w:locked/>
    <w:rsid w:val="00944E71"/>
    <w:rPr>
      <w:rFonts w:ascii="Arial" w:hAnsi="Arial" w:cs="Arial"/>
      <w:b/>
      <w:bCs/>
      <w:sz w:val="28"/>
      <w:szCs w:val="28"/>
      <w:lang w:eastAsia="en-US"/>
    </w:rPr>
  </w:style>
  <w:style w:type="paragraph" w:styleId="Footer">
    <w:name w:val="footer"/>
    <w:basedOn w:val="Normal"/>
    <w:link w:val="FooterChar"/>
    <w:uiPriority w:val="99"/>
    <w:rsid w:val="00944E71"/>
    <w:pPr>
      <w:tabs>
        <w:tab w:val="center" w:pos="4513"/>
        <w:tab w:val="right" w:pos="9026"/>
      </w:tabs>
    </w:pPr>
  </w:style>
  <w:style w:type="character" w:customStyle="1" w:styleId="FooterChar">
    <w:name w:val="Footer Char"/>
    <w:basedOn w:val="DefaultParagraphFont"/>
    <w:link w:val="Footer"/>
    <w:uiPriority w:val="99"/>
    <w:locked/>
    <w:rsid w:val="00944E71"/>
    <w:rPr>
      <w:rFonts w:ascii="Arial" w:eastAsia="Times New Roman" w:hAnsi="Arial" w:cs="Arial"/>
      <w:sz w:val="22"/>
      <w:szCs w:val="22"/>
      <w:lang w:val="en-GB"/>
    </w:rPr>
  </w:style>
  <w:style w:type="paragraph" w:styleId="TOC1">
    <w:name w:val="toc 1"/>
    <w:basedOn w:val="Normal"/>
    <w:next w:val="Normal"/>
    <w:autoRedefine/>
    <w:uiPriority w:val="39"/>
    <w:rsid w:val="007A310E"/>
    <w:pPr>
      <w:spacing w:before="120"/>
    </w:pPr>
    <w:rPr>
      <w:rFonts w:asciiTheme="minorHAnsi" w:hAnsiTheme="minorHAnsi"/>
      <w:b/>
      <w:sz w:val="24"/>
      <w:szCs w:val="24"/>
    </w:rPr>
  </w:style>
  <w:style w:type="paragraph" w:styleId="TOC2">
    <w:name w:val="toc 2"/>
    <w:basedOn w:val="Normal"/>
    <w:next w:val="Normal"/>
    <w:autoRedefine/>
    <w:uiPriority w:val="39"/>
    <w:rsid w:val="00944E71"/>
    <w:pPr>
      <w:ind w:left="200"/>
    </w:pPr>
    <w:rPr>
      <w:rFonts w:asciiTheme="minorHAnsi" w:hAnsiTheme="minorHAnsi"/>
      <w:b/>
      <w:sz w:val="22"/>
      <w:szCs w:val="22"/>
    </w:rPr>
  </w:style>
  <w:style w:type="paragraph" w:styleId="ListParagraph">
    <w:name w:val="List Paragraph"/>
    <w:basedOn w:val="Normal"/>
    <w:uiPriority w:val="34"/>
    <w:qFormat/>
    <w:rsid w:val="00944E71"/>
    <w:pPr>
      <w:ind w:left="720"/>
    </w:pPr>
    <w:rPr>
      <w:lang w:eastAsia="en-GB"/>
    </w:rPr>
  </w:style>
  <w:style w:type="paragraph" w:customStyle="1" w:styleId="Table1Header">
    <w:name w:val="Table 1 Header"/>
    <w:basedOn w:val="Normal"/>
    <w:qFormat/>
    <w:rsid w:val="00944E71"/>
    <w:rPr>
      <w:b/>
      <w:bCs/>
      <w:lang w:eastAsia="en-GB"/>
    </w:rPr>
  </w:style>
  <w:style w:type="paragraph" w:customStyle="1" w:styleId="Table2FirstColumn">
    <w:name w:val="Table 2 First Column"/>
    <w:basedOn w:val="Normal"/>
    <w:uiPriority w:val="99"/>
    <w:rsid w:val="00944E71"/>
    <w:rPr>
      <w:b/>
      <w:bCs/>
    </w:rPr>
  </w:style>
  <w:style w:type="paragraph" w:styleId="ListBullet">
    <w:name w:val="List Bullet"/>
    <w:basedOn w:val="Normal"/>
    <w:uiPriority w:val="99"/>
    <w:rsid w:val="00944E71"/>
    <w:pPr>
      <w:numPr>
        <w:numId w:val="1"/>
      </w:numPr>
      <w:tabs>
        <w:tab w:val="num" w:pos="720"/>
      </w:tabs>
      <w:ind w:hanging="363"/>
    </w:pPr>
  </w:style>
  <w:style w:type="paragraph" w:styleId="ListBullet2">
    <w:name w:val="List Bullet 2"/>
    <w:basedOn w:val="Normal"/>
    <w:uiPriority w:val="99"/>
    <w:rsid w:val="00944E71"/>
    <w:pPr>
      <w:numPr>
        <w:ilvl w:val="1"/>
        <w:numId w:val="1"/>
      </w:numPr>
      <w:tabs>
        <w:tab w:val="num" w:pos="1077"/>
      </w:tabs>
      <w:ind w:left="1077" w:hanging="357"/>
    </w:pPr>
  </w:style>
  <w:style w:type="paragraph" w:styleId="NormalWeb">
    <w:name w:val="Normal (Web)"/>
    <w:basedOn w:val="Normal"/>
    <w:qFormat/>
    <w:rsid w:val="00944E71"/>
    <w:rPr>
      <w:rFonts w:ascii="Times New Roman" w:hAnsi="Times New Roman" w:cs="Times New Roman"/>
      <w:sz w:val="24"/>
      <w:szCs w:val="24"/>
      <w:lang w:val="en-US"/>
    </w:rPr>
  </w:style>
  <w:style w:type="character" w:styleId="PageNumber">
    <w:name w:val="page number"/>
    <w:basedOn w:val="DefaultParagraphFont"/>
    <w:uiPriority w:val="99"/>
    <w:semiHidden/>
    <w:rsid w:val="00944E71"/>
  </w:style>
  <w:style w:type="character" w:styleId="IntenseReference">
    <w:name w:val="Intense Reference"/>
    <w:basedOn w:val="DefaultParagraphFont"/>
    <w:uiPriority w:val="99"/>
    <w:qFormat/>
    <w:rsid w:val="00944E71"/>
    <w:rPr>
      <w:b/>
      <w:bCs/>
      <w:smallCaps/>
      <w:color w:val="5B9BD5"/>
      <w:spacing w:val="5"/>
    </w:rPr>
  </w:style>
  <w:style w:type="paragraph" w:customStyle="1" w:styleId="Style3">
    <w:name w:val="Style3"/>
    <w:basedOn w:val="Heading1"/>
    <w:link w:val="Style3Char"/>
    <w:uiPriority w:val="99"/>
    <w:rsid w:val="00944E71"/>
    <w:pPr>
      <w:numPr>
        <w:numId w:val="0"/>
      </w:numPr>
      <w:spacing w:before="240" w:line="259" w:lineRule="auto"/>
    </w:pPr>
    <w:rPr>
      <w:rFonts w:ascii="Calibri" w:eastAsia="MS ????" w:hAnsi="Calibri" w:cs="Calibri"/>
      <w:color w:val="2E74B5"/>
      <w:sz w:val="22"/>
      <w:szCs w:val="22"/>
      <w:lang w:eastAsia="en-GB"/>
    </w:rPr>
  </w:style>
  <w:style w:type="character" w:customStyle="1" w:styleId="Style3Char">
    <w:name w:val="Style3 Char"/>
    <w:link w:val="Style3"/>
    <w:uiPriority w:val="99"/>
    <w:locked/>
    <w:rsid w:val="00944E71"/>
    <w:rPr>
      <w:rFonts w:ascii="Calibri" w:eastAsia="MS ????" w:hAnsi="Calibri" w:cs="Calibri"/>
      <w:b/>
      <w:bCs/>
      <w:color w:val="2E74B5"/>
      <w:sz w:val="22"/>
      <w:szCs w:val="22"/>
      <w:lang w:val="en-GB"/>
    </w:rPr>
  </w:style>
  <w:style w:type="paragraph" w:styleId="TOCHeading">
    <w:name w:val="TOC Heading"/>
    <w:basedOn w:val="Heading1"/>
    <w:next w:val="Normal"/>
    <w:uiPriority w:val="39"/>
    <w:qFormat/>
    <w:rsid w:val="00944E71"/>
    <w:pPr>
      <w:numPr>
        <w:numId w:val="0"/>
      </w:numPr>
      <w:spacing w:before="480" w:line="276" w:lineRule="auto"/>
      <w:outlineLvl w:val="9"/>
    </w:pPr>
    <w:rPr>
      <w:rFonts w:ascii="Calibri" w:eastAsia="MS ????" w:hAnsi="Calibri" w:cs="Calibri"/>
      <w:color w:val="365F91"/>
      <w:lang w:val="en-US"/>
    </w:rPr>
  </w:style>
  <w:style w:type="table" w:styleId="LightList-Accent1">
    <w:name w:val="Light List Accent 1"/>
    <w:basedOn w:val="TableNormal"/>
    <w:uiPriority w:val="99"/>
    <w:rsid w:val="00683A30"/>
    <w:rPr>
      <w:rFonts w:cs="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99"/>
    <w:rsid w:val="00683A30"/>
    <w:rPr>
      <w:rFonts w:cs="Cambri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MS ????"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MS ????"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 w:hAnsi="Calibri" w:cs="Calibri"/>
        <w:b/>
        <w:bCs/>
      </w:rPr>
    </w:tblStylePr>
    <w:tblStylePr w:type="lastCol">
      <w:rPr>
        <w:rFonts w:ascii="Calibri" w:eastAsia="MS ????"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BalloonText">
    <w:name w:val="Balloon Text"/>
    <w:basedOn w:val="Normal"/>
    <w:link w:val="BalloonTextChar"/>
    <w:uiPriority w:val="99"/>
    <w:semiHidden/>
    <w:rsid w:val="00E41A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41A1C"/>
    <w:rPr>
      <w:rFonts w:ascii="Lucida Grande" w:eastAsia="Times New Roman" w:hAnsi="Lucida Grande" w:cs="Lucida Grande"/>
      <w:sz w:val="18"/>
      <w:szCs w:val="18"/>
      <w:lang w:val="en-GB"/>
    </w:rPr>
  </w:style>
  <w:style w:type="table" w:styleId="MediumShading1-Accent1">
    <w:name w:val="Medium Shading 1 Accent 1"/>
    <w:basedOn w:val="TableNormal"/>
    <w:uiPriority w:val="99"/>
    <w:rsid w:val="00E46383"/>
    <w:rPr>
      <w:rFonts w:cs="Cambri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leGrid">
    <w:name w:val="Table Grid"/>
    <w:basedOn w:val="TableNormal"/>
    <w:uiPriority w:val="59"/>
    <w:rsid w:val="003C134B"/>
    <w:rPr>
      <w:rFonts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uiPriority w:val="99"/>
    <w:rsid w:val="001D3A3D"/>
    <w:rPr>
      <w:rFonts w:cs="Cambria"/>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Normal0">
    <w:name w:val="[Normal]"/>
    <w:uiPriority w:val="99"/>
    <w:rsid w:val="00C81C15"/>
    <w:pPr>
      <w:widowControl w:val="0"/>
    </w:pPr>
    <w:rPr>
      <w:sz w:val="24"/>
      <w:szCs w:val="24"/>
    </w:rPr>
  </w:style>
  <w:style w:type="paragraph" w:styleId="TOC3">
    <w:name w:val="toc 3"/>
    <w:basedOn w:val="Normal"/>
    <w:next w:val="Normal"/>
    <w:autoRedefine/>
    <w:uiPriority w:val="99"/>
    <w:semiHidden/>
    <w:rsid w:val="005C7E6E"/>
    <w:pPr>
      <w:ind w:left="400"/>
    </w:pPr>
    <w:rPr>
      <w:rFonts w:asciiTheme="minorHAnsi" w:hAnsiTheme="minorHAnsi"/>
      <w:sz w:val="22"/>
      <w:szCs w:val="22"/>
    </w:rPr>
  </w:style>
  <w:style w:type="paragraph" w:styleId="TOC4">
    <w:name w:val="toc 4"/>
    <w:basedOn w:val="Normal"/>
    <w:next w:val="Normal"/>
    <w:autoRedefine/>
    <w:uiPriority w:val="99"/>
    <w:semiHidden/>
    <w:rsid w:val="005C7E6E"/>
    <w:pPr>
      <w:ind w:left="600"/>
    </w:pPr>
    <w:rPr>
      <w:rFonts w:asciiTheme="minorHAnsi" w:hAnsiTheme="minorHAnsi"/>
    </w:rPr>
  </w:style>
  <w:style w:type="paragraph" w:styleId="TOC5">
    <w:name w:val="toc 5"/>
    <w:basedOn w:val="Normal"/>
    <w:next w:val="Normal"/>
    <w:autoRedefine/>
    <w:uiPriority w:val="99"/>
    <w:semiHidden/>
    <w:rsid w:val="005C7E6E"/>
    <w:pPr>
      <w:ind w:left="800"/>
    </w:pPr>
    <w:rPr>
      <w:rFonts w:asciiTheme="minorHAnsi" w:hAnsiTheme="minorHAnsi"/>
    </w:rPr>
  </w:style>
  <w:style w:type="paragraph" w:styleId="TOC6">
    <w:name w:val="toc 6"/>
    <w:basedOn w:val="Normal"/>
    <w:next w:val="Normal"/>
    <w:autoRedefine/>
    <w:uiPriority w:val="99"/>
    <w:semiHidden/>
    <w:rsid w:val="005C7E6E"/>
    <w:pPr>
      <w:ind w:left="1000"/>
    </w:pPr>
    <w:rPr>
      <w:rFonts w:asciiTheme="minorHAnsi" w:hAnsiTheme="minorHAnsi"/>
    </w:rPr>
  </w:style>
  <w:style w:type="paragraph" w:styleId="TOC7">
    <w:name w:val="toc 7"/>
    <w:basedOn w:val="Normal"/>
    <w:next w:val="Normal"/>
    <w:autoRedefine/>
    <w:uiPriority w:val="99"/>
    <w:semiHidden/>
    <w:rsid w:val="005C7E6E"/>
    <w:pPr>
      <w:ind w:left="1200"/>
    </w:pPr>
    <w:rPr>
      <w:rFonts w:asciiTheme="minorHAnsi" w:hAnsiTheme="minorHAnsi"/>
    </w:rPr>
  </w:style>
  <w:style w:type="paragraph" w:styleId="TOC8">
    <w:name w:val="toc 8"/>
    <w:basedOn w:val="Normal"/>
    <w:next w:val="Normal"/>
    <w:autoRedefine/>
    <w:uiPriority w:val="99"/>
    <w:semiHidden/>
    <w:rsid w:val="005C7E6E"/>
    <w:pPr>
      <w:ind w:left="1400"/>
    </w:pPr>
    <w:rPr>
      <w:rFonts w:asciiTheme="minorHAnsi" w:hAnsiTheme="minorHAnsi"/>
    </w:rPr>
  </w:style>
  <w:style w:type="paragraph" w:styleId="TOC9">
    <w:name w:val="toc 9"/>
    <w:basedOn w:val="Normal"/>
    <w:next w:val="Normal"/>
    <w:autoRedefine/>
    <w:uiPriority w:val="99"/>
    <w:semiHidden/>
    <w:rsid w:val="005C7E6E"/>
    <w:pPr>
      <w:ind w:left="1600"/>
    </w:pPr>
    <w:rPr>
      <w:rFonts w:asciiTheme="minorHAnsi" w:hAnsiTheme="minorHAnsi"/>
    </w:rPr>
  </w:style>
  <w:style w:type="paragraph" w:customStyle="1" w:styleId="Default">
    <w:name w:val="Default"/>
    <w:uiPriority w:val="99"/>
    <w:rsid w:val="00CD2DB2"/>
    <w:pPr>
      <w:autoSpaceDE w:val="0"/>
      <w:autoSpaceDN w:val="0"/>
      <w:adjustRightInd w:val="0"/>
    </w:pPr>
    <w:rPr>
      <w:rFonts w:ascii="HelveticaNeueLT Std" w:hAnsi="HelveticaNeueLT Std" w:cs="HelveticaNeueLT Std"/>
      <w:color w:val="000000"/>
      <w:sz w:val="24"/>
      <w:szCs w:val="24"/>
    </w:rPr>
  </w:style>
  <w:style w:type="paragraph" w:customStyle="1" w:styleId="Pa3">
    <w:name w:val="Pa3"/>
    <w:basedOn w:val="Default"/>
    <w:next w:val="Default"/>
    <w:uiPriority w:val="99"/>
    <w:rsid w:val="00CD2DB2"/>
    <w:pPr>
      <w:spacing w:line="181" w:lineRule="atLeast"/>
    </w:pPr>
    <w:rPr>
      <w:color w:val="auto"/>
    </w:rPr>
  </w:style>
  <w:style w:type="paragraph" w:customStyle="1" w:styleId="Pa2">
    <w:name w:val="Pa2"/>
    <w:basedOn w:val="Default"/>
    <w:next w:val="Default"/>
    <w:uiPriority w:val="99"/>
    <w:rsid w:val="00CD2DB2"/>
    <w:pPr>
      <w:spacing w:line="181" w:lineRule="atLeast"/>
    </w:pPr>
    <w:rPr>
      <w:color w:val="auto"/>
    </w:rPr>
  </w:style>
  <w:style w:type="character" w:styleId="Hyperlink">
    <w:name w:val="Hyperlink"/>
    <w:basedOn w:val="DefaultParagraphFont"/>
    <w:uiPriority w:val="99"/>
    <w:rsid w:val="00BA57B7"/>
    <w:rPr>
      <w:color w:val="0000FF"/>
      <w:u w:val="single"/>
    </w:rPr>
  </w:style>
  <w:style w:type="numbering" w:customStyle="1" w:styleId="BulletedList">
    <w:name w:val="Bulleted List"/>
    <w:rsid w:val="00190D07"/>
  </w:style>
  <w:style w:type="numbering" w:customStyle="1" w:styleId="Style1">
    <w:name w:val="Style1"/>
    <w:rsid w:val="00190D07"/>
  </w:style>
  <w:style w:type="character" w:styleId="CommentReference">
    <w:name w:val="annotation reference"/>
    <w:basedOn w:val="DefaultParagraphFont"/>
    <w:uiPriority w:val="99"/>
    <w:semiHidden/>
    <w:unhideWhenUsed/>
    <w:rsid w:val="00174660"/>
    <w:rPr>
      <w:sz w:val="16"/>
      <w:szCs w:val="16"/>
    </w:rPr>
  </w:style>
  <w:style w:type="paragraph" w:styleId="CommentText">
    <w:name w:val="annotation text"/>
    <w:basedOn w:val="Normal"/>
    <w:link w:val="CommentTextChar"/>
    <w:uiPriority w:val="99"/>
    <w:unhideWhenUsed/>
    <w:rsid w:val="00174660"/>
  </w:style>
  <w:style w:type="character" w:customStyle="1" w:styleId="CommentTextChar">
    <w:name w:val="Comment Text Char"/>
    <w:basedOn w:val="DefaultParagraphFont"/>
    <w:link w:val="CommentText"/>
    <w:uiPriority w:val="99"/>
    <w:rsid w:val="00174660"/>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174660"/>
    <w:rPr>
      <w:b/>
      <w:bCs/>
    </w:rPr>
  </w:style>
  <w:style w:type="character" w:customStyle="1" w:styleId="CommentSubjectChar">
    <w:name w:val="Comment Subject Char"/>
    <w:basedOn w:val="CommentTextChar"/>
    <w:link w:val="CommentSubject"/>
    <w:uiPriority w:val="99"/>
    <w:semiHidden/>
    <w:rsid w:val="00174660"/>
    <w:rPr>
      <w:rFonts w:ascii="Arial" w:hAnsi="Arial" w:cs="Arial"/>
      <w:b/>
      <w:bCs/>
      <w:sz w:val="20"/>
      <w:szCs w:val="20"/>
      <w:lang w:eastAsia="en-US"/>
    </w:rPr>
  </w:style>
  <w:style w:type="table" w:customStyle="1" w:styleId="GridTable4-Accent111">
    <w:name w:val="Grid Table 4 - Accent 111"/>
    <w:basedOn w:val="TableNormal"/>
    <w:uiPriority w:val="49"/>
    <w:rsid w:val="00DC32C3"/>
    <w:rPr>
      <w:rFonts w:ascii="Calibri" w:eastAsia="Calibri" w:hAnsi="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ing4Char">
    <w:name w:val="Heading 4 Char"/>
    <w:basedOn w:val="DefaultParagraphFont"/>
    <w:link w:val="Heading4"/>
    <w:semiHidden/>
    <w:rsid w:val="003F54E4"/>
    <w:rPr>
      <w:rFonts w:asciiTheme="majorHAnsi" w:eastAsiaTheme="majorEastAsia" w:hAnsiTheme="majorHAnsi" w:cstheme="majorBidi"/>
      <w:b/>
      <w:bCs/>
      <w:i/>
      <w:iCs/>
      <w:color w:val="4A66AC" w:themeColor="accent1"/>
      <w:sz w:val="20"/>
      <w:szCs w:val="20"/>
      <w:lang w:eastAsia="en-US"/>
    </w:rPr>
  </w:style>
  <w:style w:type="table" w:customStyle="1" w:styleId="GridTable4-Accent12">
    <w:name w:val="Grid Table 4 - Accent 12"/>
    <w:uiPriority w:val="99"/>
    <w:rsid w:val="00283AC3"/>
    <w:rPr>
      <w:rFonts w:ascii="Calibri" w:eastAsia="Calibri" w:hAnsi="Calibri"/>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character" w:customStyle="1" w:styleId="Heading9Char">
    <w:name w:val="Heading 9 Char"/>
    <w:basedOn w:val="DefaultParagraphFont"/>
    <w:link w:val="Heading9"/>
    <w:uiPriority w:val="9"/>
    <w:semiHidden/>
    <w:rsid w:val="00D072A7"/>
    <w:rPr>
      <w:rFonts w:asciiTheme="majorHAnsi" w:eastAsiaTheme="majorEastAsia" w:hAnsiTheme="majorHAnsi" w:cstheme="majorBidi"/>
      <w:i/>
      <w:iCs/>
      <w:color w:val="272727" w:themeColor="text1" w:themeTint="D8"/>
      <w:sz w:val="21"/>
      <w:szCs w:val="21"/>
      <w:lang w:eastAsia="en-US"/>
    </w:rPr>
  </w:style>
  <w:style w:type="table" w:styleId="LightGrid-Accent4">
    <w:name w:val="Light Grid Accent 4"/>
    <w:aliases w:val="WRS Table"/>
    <w:basedOn w:val="TableNormal"/>
    <w:uiPriority w:val="62"/>
    <w:rsid w:val="00674F42"/>
    <w:rPr>
      <w:rFonts w:asciiTheme="minorHAnsi" w:eastAsiaTheme="minorHAnsi" w:hAnsiTheme="minorHAnsi" w:cstheme="minorBidi"/>
      <w:lang w:eastAsia="en-US"/>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2B5258" w:themeFill="accent5" w:themeFillShade="80"/>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insideH w:val="nil"/>
          <w:insideV w:val="single" w:sz="8" w:space="0" w:color="7F8F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shd w:val="clear" w:color="auto" w:fill="DFE3E9" w:themeFill="accent4" w:themeFillTint="3F"/>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shd w:val="clear" w:color="auto" w:fill="DFE3E9" w:themeFill="accent4" w:themeFillTint="3F"/>
      </w:tcPr>
    </w:tblStylePr>
    <w:tblStylePr w:type="band2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tcPr>
    </w:tblStylePr>
  </w:style>
  <w:style w:type="table" w:customStyle="1" w:styleId="GridTable4-Accent51">
    <w:name w:val="Grid Table 4 - Accent 51"/>
    <w:basedOn w:val="TableNormal"/>
    <w:uiPriority w:val="49"/>
    <w:rsid w:val="000F1580"/>
    <w:rPr>
      <w:rFonts w:ascii="Calibri" w:eastAsia="Calibri" w:hAnsi="Calibri"/>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2">
    <w:name w:val="Body Text 2"/>
    <w:basedOn w:val="Normal"/>
    <w:link w:val="BodyText2Char"/>
    <w:uiPriority w:val="99"/>
    <w:semiHidden/>
    <w:unhideWhenUsed/>
    <w:rsid w:val="003A03B5"/>
    <w:pPr>
      <w:spacing w:after="120" w:line="480" w:lineRule="auto"/>
    </w:pPr>
    <w:rPr>
      <w:rFonts w:eastAsia="Calibri" w:cs="Times New Roman"/>
      <w:szCs w:val="22"/>
    </w:rPr>
  </w:style>
  <w:style w:type="character" w:customStyle="1" w:styleId="BodyText2Char">
    <w:name w:val="Body Text 2 Char"/>
    <w:basedOn w:val="DefaultParagraphFont"/>
    <w:link w:val="BodyText2"/>
    <w:uiPriority w:val="99"/>
    <w:semiHidden/>
    <w:rsid w:val="003A03B5"/>
    <w:rPr>
      <w:rFonts w:ascii="Arial" w:eastAsia="Calibri" w:hAnsi="Arial"/>
      <w:sz w:val="20"/>
      <w:lang w:eastAsia="en-US"/>
    </w:rPr>
  </w:style>
  <w:style w:type="character" w:customStyle="1" w:styleId="apple-converted-space">
    <w:name w:val="apple-converted-space"/>
    <w:basedOn w:val="DefaultParagraphFont"/>
    <w:rsid w:val="00EC03E2"/>
  </w:style>
  <w:style w:type="table" w:customStyle="1" w:styleId="WRSBlue">
    <w:name w:val="WRS Blue"/>
    <w:basedOn w:val="TableNormal"/>
    <w:next w:val="LightGrid-Accent4"/>
    <w:uiPriority w:val="62"/>
    <w:rsid w:val="00851452"/>
    <w:rPr>
      <w:rFonts w:asciiTheme="minorHAnsi" w:eastAsiaTheme="minorHAnsi" w:hAnsiTheme="minorHAnsi" w:cstheme="minorBidi"/>
      <w:lang w:eastAsia="en-US"/>
    </w:rPr>
    <w:tblPr>
      <w:tblStyleRowBandSize w:val="1"/>
      <w:tblStyleColBandSize w:val="1"/>
      <w:tblBorders>
        <w:top w:val="single" w:sz="8" w:space="0" w:color="2046A5"/>
        <w:left w:val="single" w:sz="8" w:space="0" w:color="2046A5"/>
        <w:bottom w:val="single" w:sz="8" w:space="0" w:color="2046A5"/>
        <w:right w:val="single" w:sz="8" w:space="0" w:color="2046A5"/>
        <w:insideH w:val="single" w:sz="8" w:space="0" w:color="2046A5"/>
        <w:insideV w:val="single" w:sz="8" w:space="0" w:color="2046A5"/>
      </w:tblBorders>
    </w:tblPr>
    <w:tblStylePr w:type="firstRow">
      <w:pPr>
        <w:spacing w:before="0" w:after="0" w:line="240" w:lineRule="auto"/>
      </w:pPr>
      <w:rPr>
        <w:rFonts w:asciiTheme="minorHAnsi" w:eastAsia="Meiryo" w:hAnsiTheme="minorHAnsi" w:cs="Times New Roman"/>
        <w:b/>
        <w:bCs/>
      </w:rPr>
      <w:tblPr/>
      <w:tcPr>
        <w:shd w:val="clear" w:color="auto" w:fill="002060"/>
      </w:tcPr>
    </w:tblStylePr>
    <w:tblStylePr w:type="lastRow">
      <w:pPr>
        <w:spacing w:before="0" w:after="0" w:line="240" w:lineRule="auto"/>
      </w:pPr>
      <w:rPr>
        <w:rFonts w:ascii="News Gothic MT" w:eastAsia="Meiryo" w:hAnsi="News Gothic MT" w:cs="Times New Roman"/>
        <w:b/>
        <w:bCs/>
      </w:rPr>
      <w:tblPr/>
      <w:tcPr>
        <w:tcBorders>
          <w:top w:val="double" w:sz="6" w:space="0" w:color="2046A5"/>
          <w:left w:val="single" w:sz="8" w:space="0" w:color="2046A5"/>
          <w:bottom w:val="single" w:sz="8" w:space="0" w:color="2046A5"/>
          <w:right w:val="single" w:sz="8" w:space="0" w:color="2046A5"/>
          <w:insideH w:val="nil"/>
          <w:insideV w:val="single" w:sz="8" w:space="0" w:color="2046A5"/>
        </w:tcBorders>
      </w:tcPr>
    </w:tblStylePr>
    <w:tblStylePr w:type="firstCol">
      <w:rPr>
        <w:rFonts w:ascii="News Gothic MT" w:eastAsia="Meiryo" w:hAnsi="News Gothic MT" w:cs="Times New Roman"/>
        <w:b/>
        <w:bCs/>
      </w:rPr>
    </w:tblStylePr>
    <w:tblStylePr w:type="lastCol">
      <w:rPr>
        <w:rFonts w:ascii="News Gothic MT" w:eastAsia="Meiryo" w:hAnsi="News Gothic MT" w:cs="Times New Roman"/>
        <w:b/>
        <w:bCs/>
      </w:rPr>
      <w:tblPr/>
      <w:tcPr>
        <w:tcBorders>
          <w:top w:val="single" w:sz="8" w:space="0" w:color="2046A5"/>
          <w:left w:val="single" w:sz="8" w:space="0" w:color="2046A5"/>
          <w:bottom w:val="single" w:sz="8" w:space="0" w:color="2046A5"/>
          <w:right w:val="single" w:sz="8" w:space="0" w:color="2046A5"/>
        </w:tcBorders>
      </w:tcPr>
    </w:tblStylePr>
    <w:tblStylePr w:type="band1Vert">
      <w:tblPr/>
      <w:tcPr>
        <w:tcBorders>
          <w:top w:val="single" w:sz="8" w:space="0" w:color="2046A5"/>
          <w:left w:val="single" w:sz="8" w:space="0" w:color="2046A5"/>
          <w:bottom w:val="single" w:sz="8" w:space="0" w:color="2046A5"/>
          <w:right w:val="single" w:sz="8" w:space="0" w:color="2046A5"/>
        </w:tcBorders>
        <w:shd w:val="clear" w:color="auto" w:fill="BECCF2"/>
      </w:tcPr>
    </w:tblStylePr>
    <w:tblStylePr w:type="band1Horz">
      <w:tblPr/>
      <w:tcPr>
        <w:tcBorders>
          <w:top w:val="single" w:sz="8" w:space="0" w:color="2046A5"/>
          <w:left w:val="single" w:sz="8" w:space="0" w:color="2046A5"/>
          <w:bottom w:val="single" w:sz="8" w:space="0" w:color="2046A5"/>
          <w:right w:val="single" w:sz="8" w:space="0" w:color="2046A5"/>
          <w:insideV w:val="single" w:sz="8" w:space="0" w:color="2046A5"/>
        </w:tcBorders>
        <w:shd w:val="clear" w:color="auto" w:fill="BECCF2"/>
      </w:tcPr>
    </w:tblStylePr>
    <w:tblStylePr w:type="band2Horz">
      <w:tblPr/>
      <w:tcPr>
        <w:tcBorders>
          <w:top w:val="single" w:sz="8" w:space="0" w:color="2046A5"/>
          <w:left w:val="single" w:sz="8" w:space="0" w:color="2046A5"/>
          <w:bottom w:val="single" w:sz="8" w:space="0" w:color="2046A5"/>
          <w:right w:val="single" w:sz="8" w:space="0" w:color="2046A5"/>
          <w:insideV w:val="single" w:sz="8" w:space="0" w:color="2046A5"/>
        </w:tcBorders>
      </w:tcPr>
    </w:tblStylePr>
  </w:style>
  <w:style w:type="character" w:customStyle="1" w:styleId="text-increase-0">
    <w:name w:val="text-increase-0"/>
    <w:basedOn w:val="DefaultParagraphFont"/>
    <w:rsid w:val="0003723A"/>
  </w:style>
  <w:style w:type="character" w:customStyle="1" w:styleId="Heading6Char">
    <w:name w:val="Heading 6 Char"/>
    <w:basedOn w:val="DefaultParagraphFont"/>
    <w:link w:val="Heading6"/>
    <w:semiHidden/>
    <w:rsid w:val="007A4717"/>
    <w:rPr>
      <w:rFonts w:asciiTheme="majorHAnsi" w:eastAsiaTheme="majorEastAsia" w:hAnsiTheme="majorHAnsi" w:cstheme="majorBidi"/>
      <w:i/>
      <w:iCs/>
      <w:color w:val="243255" w:themeColor="accent1" w:themeShade="7F"/>
      <w:sz w:val="20"/>
      <w:szCs w:val="20"/>
      <w:lang w:eastAsia="en-US"/>
    </w:rPr>
  </w:style>
  <w:style w:type="table" w:customStyle="1" w:styleId="GridTable1Light-Accent21">
    <w:name w:val="Grid Table 1 Light - Accent 21"/>
    <w:basedOn w:val="TableNormal"/>
    <w:uiPriority w:val="46"/>
    <w:rsid w:val="002D2AE8"/>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customStyle="1" w:styleId="ListTable3-Accent21">
    <w:name w:val="List Table 3 - Accent 21"/>
    <w:basedOn w:val="TableNormal"/>
    <w:uiPriority w:val="48"/>
    <w:rsid w:val="002D2AE8"/>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customStyle="1" w:styleId="GridTable4-Accent21">
    <w:name w:val="Grid Table 4 - Accent 21"/>
    <w:basedOn w:val="TableNormal"/>
    <w:uiPriority w:val="49"/>
    <w:rsid w:val="0056363E"/>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styleId="Header">
    <w:name w:val="header"/>
    <w:basedOn w:val="Normal"/>
    <w:link w:val="HeaderChar"/>
    <w:uiPriority w:val="99"/>
    <w:unhideWhenUsed/>
    <w:rsid w:val="00F34E6C"/>
    <w:pPr>
      <w:tabs>
        <w:tab w:val="center" w:pos="4513"/>
        <w:tab w:val="right" w:pos="9026"/>
      </w:tabs>
    </w:pPr>
  </w:style>
  <w:style w:type="character" w:customStyle="1" w:styleId="HeaderChar">
    <w:name w:val="Header Char"/>
    <w:basedOn w:val="DefaultParagraphFont"/>
    <w:link w:val="Header"/>
    <w:uiPriority w:val="99"/>
    <w:rsid w:val="00F34E6C"/>
    <w:rPr>
      <w:rFonts w:ascii="Arial" w:hAnsi="Arial" w:cs="Arial"/>
      <w:sz w:val="20"/>
      <w:szCs w:val="20"/>
      <w:lang w:eastAsia="en-US"/>
    </w:rPr>
  </w:style>
  <w:style w:type="paragraph" w:customStyle="1" w:styleId="Para">
    <w:name w:val="Para"/>
    <w:basedOn w:val="Normal"/>
    <w:uiPriority w:val="3"/>
    <w:qFormat/>
    <w:rsid w:val="00E35A64"/>
    <w:pPr>
      <w:tabs>
        <w:tab w:val="right" w:pos="9640"/>
      </w:tabs>
      <w:spacing w:before="240" w:after="120"/>
    </w:pPr>
    <w:rPr>
      <w:rFonts w:asciiTheme="minorHAnsi" w:eastAsiaTheme="minorHAnsi" w:hAnsiTheme="minorHAnsi" w:cstheme="minorBidi"/>
      <w:sz w:val="22"/>
      <w:szCs w:val="22"/>
      <w:u w:color="B2A1C7"/>
    </w:rPr>
  </w:style>
  <w:style w:type="table" w:styleId="MediumGrid3-Accent3">
    <w:name w:val="Medium Grid 3 Accent 3"/>
    <w:basedOn w:val="TableNormal"/>
    <w:uiPriority w:val="69"/>
    <w:rsid w:val="002077D6"/>
    <w:rPr>
      <w:rFonts w:asciiTheme="minorHAnsi" w:eastAsia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3" w:themeFillTint="7F"/>
      </w:tcPr>
    </w:tblStylePr>
  </w:style>
  <w:style w:type="table" w:customStyle="1" w:styleId="GridTable4-Accent22">
    <w:name w:val="Grid Table 4 - Accent 22"/>
    <w:basedOn w:val="TableNormal"/>
    <w:uiPriority w:val="49"/>
    <w:rsid w:val="002077D6"/>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customStyle="1" w:styleId="GridTable4-Accent31">
    <w:name w:val="Grid Table 4 - Accent 31"/>
    <w:basedOn w:val="TableNormal"/>
    <w:uiPriority w:val="49"/>
    <w:rsid w:val="00C07A5A"/>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paragraph" w:styleId="BodyText">
    <w:name w:val="Body Text"/>
    <w:basedOn w:val="Normal"/>
    <w:link w:val="BodyTextChar"/>
    <w:uiPriority w:val="99"/>
    <w:semiHidden/>
    <w:unhideWhenUsed/>
    <w:rsid w:val="00B54C65"/>
    <w:pPr>
      <w:spacing w:after="120"/>
    </w:pPr>
  </w:style>
  <w:style w:type="character" w:customStyle="1" w:styleId="BodyTextChar">
    <w:name w:val="Body Text Char"/>
    <w:basedOn w:val="DefaultParagraphFont"/>
    <w:link w:val="BodyText"/>
    <w:uiPriority w:val="99"/>
    <w:semiHidden/>
    <w:rsid w:val="00B54C65"/>
    <w:rPr>
      <w:rFonts w:ascii="Arial" w:hAnsi="Arial" w:cs="Arial"/>
      <w:sz w:val="20"/>
      <w:szCs w:val="20"/>
      <w:lang w:eastAsia="en-US"/>
    </w:rPr>
  </w:style>
  <w:style w:type="paragraph" w:customStyle="1" w:styleId="TablePara">
    <w:name w:val="TablePara"/>
    <w:basedOn w:val="Normal"/>
    <w:uiPriority w:val="2"/>
    <w:qFormat/>
    <w:rsid w:val="0094239A"/>
    <w:pPr>
      <w:tabs>
        <w:tab w:val="right" w:pos="9640"/>
      </w:tabs>
      <w:spacing w:before="40" w:after="40"/>
    </w:pPr>
    <w:rPr>
      <w:rFonts w:asciiTheme="minorHAnsi" w:eastAsia="Trebuchet MS" w:hAnsiTheme="minorHAnsi" w:cs="Times New Roman"/>
      <w:bCs/>
      <w:sz w:val="22"/>
    </w:rPr>
  </w:style>
  <w:style w:type="paragraph" w:styleId="Revision">
    <w:name w:val="Revision"/>
    <w:hidden/>
    <w:uiPriority w:val="99"/>
    <w:semiHidden/>
    <w:rsid w:val="009032D9"/>
    <w:rPr>
      <w:lang w:eastAsia="en-US"/>
    </w:rPr>
  </w:style>
  <w:style w:type="character" w:styleId="FollowedHyperlink">
    <w:name w:val="FollowedHyperlink"/>
    <w:basedOn w:val="DefaultParagraphFont"/>
    <w:uiPriority w:val="99"/>
    <w:semiHidden/>
    <w:unhideWhenUsed/>
    <w:rsid w:val="00277D3F"/>
    <w:rPr>
      <w:color w:val="3EBBF0" w:themeColor="followedHyperlink"/>
      <w:u w:val="single"/>
    </w:rPr>
  </w:style>
  <w:style w:type="paragraph" w:styleId="NoSpacing">
    <w:name w:val="No Spacing"/>
    <w:uiPriority w:val="1"/>
    <w:qFormat/>
    <w:rsid w:val="0086532E"/>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left w:w="115" w:type="dxa"/>
        <w:right w:w="115" w:type="dxa"/>
      </w:tblCellMar>
    </w:tblPr>
    <w:tcPr>
      <w:shd w:val="clear" w:color="auto" w:fill="C9DFF4"/>
    </w:tcPr>
    <w:tblStylePr w:type="firstRow">
      <w:rPr>
        <w:b/>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rPr>
      <w:tblPr/>
      <w:tcPr>
        <w:tcBorders>
          <w:top w:val="single" w:sz="4" w:space="0" w:color="629DD1"/>
        </w:tcBorders>
      </w:tcPr>
    </w:tblStylePr>
    <w:tblStylePr w:type="firstCol">
      <w:rPr>
        <w:b/>
      </w:rPr>
    </w:tblStylePr>
    <w:tblStylePr w:type="lastCol">
      <w:rPr>
        <w:b/>
      </w:rPr>
    </w:tblStylePr>
    <w:tblStylePr w:type="band1Vert">
      <w:tblPr/>
      <w:tcPr>
        <w:shd w:val="clear" w:color="auto" w:fill="DFEBF5"/>
      </w:tcPr>
    </w:tblStylePr>
    <w:tblStylePr w:type="band1Horz">
      <w:tblPr/>
      <w:tcPr>
        <w:shd w:val="clear" w:color="auto" w:fill="DFEBF5"/>
      </w:tcPr>
    </w:tblStylePr>
  </w:style>
  <w:style w:type="table" w:customStyle="1" w:styleId="a0">
    <w:basedOn w:val="TableNormal"/>
    <w:rPr>
      <w:rFonts w:ascii="Calibri" w:eastAsia="Calibri" w:hAnsi="Calibri" w:cs="Calibri"/>
    </w:rPr>
    <w:tblPr>
      <w:tblStyleRowBandSize w:val="1"/>
      <w:tblStyleColBandSize w:val="1"/>
      <w:tblCellMar>
        <w:left w:w="115" w:type="dxa"/>
        <w:right w:w="115" w:type="dxa"/>
      </w:tblCellMar>
    </w:tblPr>
    <w:tcPr>
      <w:shd w:val="clear" w:color="auto" w:fill="C9DFF4"/>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AF6"/>
      </w:tcPr>
    </w:tblStylePr>
    <w:tblStylePr w:type="band1Horz">
      <w:tblPr/>
      <w:tcPr>
        <w:shd w:val="clear" w:color="auto" w:fill="DEEAF6"/>
      </w:tcPr>
    </w:tblStylePr>
  </w:style>
  <w:style w:type="table" w:customStyle="1" w:styleId="a1">
    <w:basedOn w:val="TableNormal"/>
    <w:rPr>
      <w:rFonts w:ascii="Calibri" w:eastAsia="Calibri" w:hAnsi="Calibri" w:cs="Calibri"/>
    </w:rPr>
    <w:tblPr>
      <w:tblStyleRowBandSize w:val="1"/>
      <w:tblStyleColBandSize w:val="1"/>
      <w:tblCellMar>
        <w:left w:w="115" w:type="dxa"/>
        <w:right w:w="115" w:type="dxa"/>
      </w:tblCellMar>
    </w:tblPr>
    <w:tcPr>
      <w:shd w:val="clear" w:color="auto" w:fill="C9DFF4"/>
    </w:tcPr>
    <w:tblStylePr w:type="firstRow">
      <w:rPr>
        <w:b/>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rPr>
      <w:tblPr/>
      <w:tcPr>
        <w:tcBorders>
          <w:top w:val="single" w:sz="4" w:space="0" w:color="629DD1"/>
        </w:tcBorders>
      </w:tcPr>
    </w:tblStylePr>
    <w:tblStylePr w:type="firstCol">
      <w:rPr>
        <w:b/>
      </w:rPr>
    </w:tblStylePr>
    <w:tblStylePr w:type="lastCol">
      <w:rPr>
        <w:b/>
      </w:rPr>
    </w:tblStylePr>
    <w:tblStylePr w:type="band1Vert">
      <w:tblPr/>
      <w:tcPr>
        <w:shd w:val="clear" w:color="auto" w:fill="DFEBF5"/>
      </w:tcPr>
    </w:tblStylePr>
    <w:tblStylePr w:type="band1Horz">
      <w:tblPr/>
      <w:tcPr>
        <w:shd w:val="clear" w:color="auto" w:fill="DFEBF5"/>
      </w:tcPr>
    </w:tblStylePr>
  </w:style>
  <w:style w:type="table" w:customStyle="1" w:styleId="a2">
    <w:basedOn w:val="TableNormal"/>
    <w:rPr>
      <w:rFonts w:ascii="Calibri" w:eastAsia="Calibri" w:hAnsi="Calibri" w:cs="Calibri"/>
    </w:rPr>
    <w:tblPr>
      <w:tblStyleRowBandSize w:val="1"/>
      <w:tblStyleColBandSize w:val="1"/>
      <w:tblCellMar>
        <w:left w:w="115" w:type="dxa"/>
        <w:right w:w="115" w:type="dxa"/>
      </w:tblCellMar>
    </w:tblPr>
    <w:tcPr>
      <w:shd w:val="clear" w:color="auto" w:fill="C9DFF4"/>
    </w:tcPr>
    <w:tblStylePr w:type="firstRow">
      <w:rPr>
        <w:b/>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rPr>
      <w:tblPr/>
      <w:tcPr>
        <w:tcBorders>
          <w:top w:val="single" w:sz="4" w:space="0" w:color="629DD1"/>
        </w:tcBorders>
      </w:tcPr>
    </w:tblStylePr>
    <w:tblStylePr w:type="firstCol">
      <w:rPr>
        <w:b/>
      </w:rPr>
    </w:tblStylePr>
    <w:tblStylePr w:type="lastCol">
      <w:rPr>
        <w:b/>
      </w:rPr>
    </w:tblStylePr>
    <w:tblStylePr w:type="band1Vert">
      <w:tblPr/>
      <w:tcPr>
        <w:shd w:val="clear" w:color="auto" w:fill="DFEBF5"/>
      </w:tcPr>
    </w:tblStylePr>
    <w:tblStylePr w:type="band1Horz">
      <w:tblPr/>
      <w:tcPr>
        <w:shd w:val="clear" w:color="auto" w:fill="DFEBF5"/>
      </w:tcPr>
    </w:tblStylePr>
  </w:style>
  <w:style w:type="table" w:customStyle="1" w:styleId="a3">
    <w:basedOn w:val="TableNormal"/>
    <w:rPr>
      <w:rFonts w:ascii="Calibri" w:eastAsia="Calibri" w:hAnsi="Calibri" w:cs="Calibri"/>
    </w:rPr>
    <w:tblPr>
      <w:tblStyleRowBandSize w:val="1"/>
      <w:tblStyleColBandSize w:val="1"/>
      <w:tblCellMar>
        <w:left w:w="115" w:type="dxa"/>
        <w:right w:w="115" w:type="dxa"/>
      </w:tblCellMar>
    </w:tblPr>
    <w:tcPr>
      <w:shd w:val="clear" w:color="auto" w:fill="C9DFF4"/>
    </w:tcPr>
    <w:tblStylePr w:type="firstRow">
      <w:rPr>
        <w:b/>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rPr>
      <w:tblPr/>
      <w:tcPr>
        <w:tcBorders>
          <w:top w:val="single" w:sz="4" w:space="0" w:color="629DD1"/>
        </w:tcBorders>
      </w:tcPr>
    </w:tblStylePr>
    <w:tblStylePr w:type="firstCol">
      <w:rPr>
        <w:b/>
      </w:rPr>
    </w:tblStylePr>
    <w:tblStylePr w:type="lastCol">
      <w:rPr>
        <w:b/>
      </w:rPr>
    </w:tblStylePr>
    <w:tblStylePr w:type="band1Vert">
      <w:tblPr/>
      <w:tcPr>
        <w:shd w:val="clear" w:color="auto" w:fill="DFEBF5"/>
      </w:tcPr>
    </w:tblStylePr>
    <w:tblStylePr w:type="band1Horz">
      <w:tblPr/>
      <w:tcPr>
        <w:shd w:val="clear" w:color="auto" w:fill="DFEBF5"/>
      </w:tcPr>
    </w:tblStylePr>
  </w:style>
  <w:style w:type="character" w:styleId="UnresolvedMention">
    <w:name w:val="Unresolved Mention"/>
    <w:basedOn w:val="DefaultParagraphFont"/>
    <w:uiPriority w:val="99"/>
    <w:semiHidden/>
    <w:unhideWhenUsed/>
    <w:rsid w:val="00D01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media.octopusinvestments.com/m/349748755c195f99/original/Details-of-underlying-investments.pdf"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C3y8ME9/DUukkHhTgCUYe3AQMQ==">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</go:docsCustomData>
</go:gDocsCustomXmlDataStorage>
</file>

<file path=customXml/itemProps1.xml><?xml version="1.0" encoding="utf-8"?>
<ds:datastoreItem xmlns:ds="http://schemas.openxmlformats.org/officeDocument/2006/customXml" ds:itemID="{567E79CF-466D-4010-A7E4-1D31B9AF56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Abraham Okusanya</dc:creator>
  <cp:lastModifiedBy>Harriet Badley</cp:lastModifiedBy>
  <cp:revision>2</cp:revision>
  <dcterms:created xsi:type="dcterms:W3CDTF">2023-07-05T12:21:00Z</dcterms:created>
  <dcterms:modified xsi:type="dcterms:W3CDTF">2023-07-05T12:21:00Z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1fa665-5a7a-4c6b-b38d-b23dce6742ad_Enabled">
    <vt:lpwstr>true</vt:lpwstr>
  </property>
  <property fmtid="{D5CDD505-2E9C-101B-9397-08002B2CF9AE}" pid="3" name="MSIP_Label_731fa665-5a7a-4c6b-b38d-b23dce6742ad_SetDate">
    <vt:lpwstr>2023-05-23T11:30:19Z</vt:lpwstr>
  </property>
  <property fmtid="{D5CDD505-2E9C-101B-9397-08002B2CF9AE}" pid="4" name="MSIP_Label_731fa665-5a7a-4c6b-b38d-b23dce6742ad_Method">
    <vt:lpwstr>Standard</vt:lpwstr>
  </property>
  <property fmtid="{D5CDD505-2E9C-101B-9397-08002B2CF9AE}" pid="5" name="MSIP_Label_731fa665-5a7a-4c6b-b38d-b23dce6742ad_Name">
    <vt:lpwstr>General</vt:lpwstr>
  </property>
  <property fmtid="{D5CDD505-2E9C-101B-9397-08002B2CF9AE}" pid="6" name="MSIP_Label_731fa665-5a7a-4c6b-b38d-b23dce6742ad_SiteId">
    <vt:lpwstr>3447f699-4a9b-42dd-83b2-6b292b344549</vt:lpwstr>
  </property>
  <property fmtid="{D5CDD505-2E9C-101B-9397-08002B2CF9AE}" pid="7" name="MSIP_Label_731fa665-5a7a-4c6b-b38d-b23dce6742ad_ActionId">
    <vt:lpwstr>70d0d3ce-421f-4ebc-b716-577499f564d5</vt:lpwstr>
  </property>
  <property fmtid="{D5CDD505-2E9C-101B-9397-08002B2CF9AE}" pid="8" name="MSIP_Label_731fa665-5a7a-4c6b-b38d-b23dce6742ad_ContentBits">
    <vt:lpwstr>0</vt:lpwstr>
  </property>
</Properties>
</file>